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CEE" w:rsidRDefault="00834B59">
      <w:pPr>
        <w:pStyle w:val="TOC1"/>
        <w:rPr>
          <w:rFonts w:asciiTheme="minorHAnsi" w:eastAsiaTheme="minorEastAsia" w:hAnsiTheme="minorHAnsi" w:cstheme="minorBidi"/>
          <w:b w:val="0"/>
          <w:bCs w:val="0"/>
          <w:sz w:val="22"/>
          <w:szCs w:val="22"/>
        </w:rPr>
      </w:pPr>
      <w:r w:rsidRPr="001705C7">
        <w:rPr>
          <w:szCs w:val="24"/>
        </w:rPr>
        <w:fldChar w:fldCharType="begin"/>
      </w:r>
      <w:r w:rsidRPr="001705C7">
        <w:rPr>
          <w:szCs w:val="24"/>
        </w:rPr>
        <w:instrText xml:space="preserve"> TOC \o "1-2" \h \z </w:instrText>
      </w:r>
      <w:r w:rsidRPr="001705C7">
        <w:rPr>
          <w:szCs w:val="24"/>
        </w:rPr>
        <w:fldChar w:fldCharType="separate"/>
      </w:r>
      <w:hyperlink w:anchor="_Toc415824614" w:history="1">
        <w:r w:rsidR="00B45CEE" w:rsidRPr="008369BF">
          <w:rPr>
            <w:rStyle w:val="Hyperlink"/>
          </w:rPr>
          <w:t>501.01</w:t>
        </w:r>
        <w:r w:rsidR="00B45CEE">
          <w:rPr>
            <w:rFonts w:asciiTheme="minorHAnsi" w:eastAsiaTheme="minorEastAsia" w:hAnsiTheme="minorHAnsi" w:cstheme="minorBidi"/>
            <w:b w:val="0"/>
            <w:bCs w:val="0"/>
            <w:sz w:val="22"/>
            <w:szCs w:val="22"/>
          </w:rPr>
          <w:tab/>
        </w:r>
        <w:r w:rsidR="00B45CEE" w:rsidRPr="008369BF">
          <w:rPr>
            <w:rStyle w:val="Hyperlink"/>
          </w:rPr>
          <w:t>Introduction</w:t>
        </w:r>
        <w:r w:rsidR="00B45CEE">
          <w:rPr>
            <w:webHidden/>
          </w:rPr>
          <w:tab/>
        </w:r>
        <w:r w:rsidR="00B45CEE">
          <w:rPr>
            <w:webHidden/>
          </w:rPr>
          <w:fldChar w:fldCharType="begin"/>
        </w:r>
        <w:r w:rsidR="00B45CEE">
          <w:rPr>
            <w:webHidden/>
          </w:rPr>
          <w:instrText xml:space="preserve"> PAGEREF _Toc415824614 \h </w:instrText>
        </w:r>
        <w:r w:rsidR="00B45CEE">
          <w:rPr>
            <w:webHidden/>
          </w:rPr>
        </w:r>
        <w:r w:rsidR="00B45CEE">
          <w:rPr>
            <w:webHidden/>
          </w:rPr>
          <w:fldChar w:fldCharType="separate"/>
        </w:r>
        <w:r w:rsidR="00661E5F">
          <w:rPr>
            <w:webHidden/>
          </w:rPr>
          <w:t>2</w:t>
        </w:r>
        <w:r w:rsidR="00B45CEE">
          <w:rPr>
            <w:webHidden/>
          </w:rPr>
          <w:fldChar w:fldCharType="end"/>
        </w:r>
      </w:hyperlink>
    </w:p>
    <w:p w:rsidR="00B45CEE" w:rsidRDefault="00C16A10">
      <w:pPr>
        <w:pStyle w:val="TOC1"/>
        <w:rPr>
          <w:rFonts w:asciiTheme="minorHAnsi" w:eastAsiaTheme="minorEastAsia" w:hAnsiTheme="minorHAnsi" w:cstheme="minorBidi"/>
          <w:b w:val="0"/>
          <w:bCs w:val="0"/>
          <w:sz w:val="22"/>
          <w:szCs w:val="22"/>
        </w:rPr>
      </w:pPr>
      <w:hyperlink w:anchor="_Toc415824615" w:history="1">
        <w:r w:rsidR="00B45CEE" w:rsidRPr="008369BF">
          <w:rPr>
            <w:rStyle w:val="Hyperlink"/>
          </w:rPr>
          <w:t>501.02</w:t>
        </w:r>
        <w:r w:rsidR="00B45CEE">
          <w:rPr>
            <w:rFonts w:asciiTheme="minorHAnsi" w:eastAsiaTheme="minorEastAsia" w:hAnsiTheme="minorHAnsi" w:cstheme="minorBidi"/>
            <w:b w:val="0"/>
            <w:bCs w:val="0"/>
            <w:sz w:val="22"/>
            <w:szCs w:val="22"/>
          </w:rPr>
          <w:tab/>
        </w:r>
        <w:r w:rsidR="00B45CEE" w:rsidRPr="008369BF">
          <w:rPr>
            <w:rStyle w:val="Hyperlink"/>
          </w:rPr>
          <w:t>BCCP Forms</w:t>
        </w:r>
        <w:r w:rsidR="00B45CEE">
          <w:rPr>
            <w:webHidden/>
          </w:rPr>
          <w:tab/>
        </w:r>
        <w:r w:rsidR="00B45CEE">
          <w:rPr>
            <w:webHidden/>
          </w:rPr>
          <w:fldChar w:fldCharType="begin"/>
        </w:r>
        <w:r w:rsidR="00B45CEE">
          <w:rPr>
            <w:webHidden/>
          </w:rPr>
          <w:instrText xml:space="preserve"> PAGEREF _Toc415824615 \h </w:instrText>
        </w:r>
        <w:r w:rsidR="00B45CEE">
          <w:rPr>
            <w:webHidden/>
          </w:rPr>
        </w:r>
        <w:r w:rsidR="00B45CEE">
          <w:rPr>
            <w:webHidden/>
          </w:rPr>
          <w:fldChar w:fldCharType="separate"/>
        </w:r>
        <w:r w:rsidR="00661E5F">
          <w:rPr>
            <w:webHidden/>
          </w:rPr>
          <w:t>2</w:t>
        </w:r>
        <w:r w:rsidR="00B45CEE">
          <w:rPr>
            <w:webHidden/>
          </w:rPr>
          <w:fldChar w:fldCharType="end"/>
        </w:r>
      </w:hyperlink>
    </w:p>
    <w:p w:rsidR="00B45CEE" w:rsidRDefault="00C16A10">
      <w:pPr>
        <w:pStyle w:val="TOC1"/>
        <w:rPr>
          <w:rFonts w:asciiTheme="minorHAnsi" w:eastAsiaTheme="minorEastAsia" w:hAnsiTheme="minorHAnsi" w:cstheme="minorBidi"/>
          <w:b w:val="0"/>
          <w:bCs w:val="0"/>
          <w:sz w:val="22"/>
          <w:szCs w:val="22"/>
        </w:rPr>
      </w:pPr>
      <w:hyperlink w:anchor="_Toc415824616" w:history="1">
        <w:r w:rsidR="00B45CEE" w:rsidRPr="008369BF">
          <w:rPr>
            <w:rStyle w:val="Hyperlink"/>
          </w:rPr>
          <w:t>501.03</w:t>
        </w:r>
        <w:r w:rsidR="00B45CEE">
          <w:rPr>
            <w:rFonts w:asciiTheme="minorHAnsi" w:eastAsiaTheme="minorEastAsia" w:hAnsiTheme="minorHAnsi" w:cstheme="minorBidi"/>
            <w:b w:val="0"/>
            <w:bCs w:val="0"/>
            <w:sz w:val="22"/>
            <w:szCs w:val="22"/>
          </w:rPr>
          <w:tab/>
        </w:r>
        <w:r w:rsidR="00B45CEE" w:rsidRPr="008369BF">
          <w:rPr>
            <w:rStyle w:val="Hyperlink"/>
          </w:rPr>
          <w:t>Eligibility Criteria</w:t>
        </w:r>
        <w:r w:rsidR="00B45CEE">
          <w:rPr>
            <w:webHidden/>
          </w:rPr>
          <w:tab/>
        </w:r>
        <w:r w:rsidR="00B45CEE">
          <w:rPr>
            <w:webHidden/>
          </w:rPr>
          <w:fldChar w:fldCharType="begin"/>
        </w:r>
        <w:r w:rsidR="00B45CEE">
          <w:rPr>
            <w:webHidden/>
          </w:rPr>
          <w:instrText xml:space="preserve"> PAGEREF _Toc415824616 \h </w:instrText>
        </w:r>
        <w:r w:rsidR="00B45CEE">
          <w:rPr>
            <w:webHidden/>
          </w:rPr>
        </w:r>
        <w:r w:rsidR="00B45CEE">
          <w:rPr>
            <w:webHidden/>
          </w:rPr>
          <w:fldChar w:fldCharType="separate"/>
        </w:r>
        <w:r w:rsidR="00661E5F">
          <w:rPr>
            <w:webHidden/>
          </w:rPr>
          <w:t>2</w:t>
        </w:r>
        <w:r w:rsidR="00B45CEE">
          <w:rPr>
            <w:webHidden/>
          </w:rPr>
          <w:fldChar w:fldCharType="end"/>
        </w:r>
      </w:hyperlink>
    </w:p>
    <w:p w:rsidR="00B45CEE" w:rsidRDefault="00C16A10">
      <w:pPr>
        <w:pStyle w:val="TOC2"/>
        <w:rPr>
          <w:rFonts w:asciiTheme="minorHAnsi" w:eastAsiaTheme="minorEastAsia" w:hAnsiTheme="minorHAnsi" w:cstheme="minorBidi"/>
          <w:sz w:val="22"/>
          <w:szCs w:val="22"/>
        </w:rPr>
      </w:pPr>
      <w:hyperlink w:anchor="_Toc415824617" w:history="1">
        <w:r w:rsidR="00B45CEE" w:rsidRPr="008369BF">
          <w:rPr>
            <w:rStyle w:val="Hyperlink"/>
            <w:bCs/>
          </w:rPr>
          <w:t>501.03.01</w:t>
        </w:r>
        <w:r w:rsidR="00B45CEE">
          <w:rPr>
            <w:rFonts w:asciiTheme="minorHAnsi" w:eastAsiaTheme="minorEastAsia" w:hAnsiTheme="minorHAnsi" w:cstheme="minorBidi"/>
            <w:sz w:val="22"/>
            <w:szCs w:val="22"/>
          </w:rPr>
          <w:tab/>
        </w:r>
        <w:r w:rsidR="00B45CEE" w:rsidRPr="008369BF">
          <w:rPr>
            <w:rStyle w:val="Hyperlink"/>
            <w:bCs/>
          </w:rPr>
          <w:t>Non-Best Chance Network and Best Chance Network Patient</w:t>
        </w:r>
        <w:r w:rsidR="00B45CEE">
          <w:rPr>
            <w:webHidden/>
          </w:rPr>
          <w:tab/>
        </w:r>
        <w:r w:rsidR="00B45CEE">
          <w:rPr>
            <w:webHidden/>
          </w:rPr>
          <w:fldChar w:fldCharType="begin"/>
        </w:r>
        <w:r w:rsidR="00B45CEE">
          <w:rPr>
            <w:webHidden/>
          </w:rPr>
          <w:instrText xml:space="preserve"> PAGEREF _Toc415824617 \h </w:instrText>
        </w:r>
        <w:r w:rsidR="00B45CEE">
          <w:rPr>
            <w:webHidden/>
          </w:rPr>
        </w:r>
        <w:r w:rsidR="00B45CEE">
          <w:rPr>
            <w:webHidden/>
          </w:rPr>
          <w:fldChar w:fldCharType="separate"/>
        </w:r>
        <w:r w:rsidR="00661E5F">
          <w:rPr>
            <w:webHidden/>
          </w:rPr>
          <w:t>2</w:t>
        </w:r>
        <w:r w:rsidR="00B45CEE">
          <w:rPr>
            <w:webHidden/>
          </w:rPr>
          <w:fldChar w:fldCharType="end"/>
        </w:r>
      </w:hyperlink>
    </w:p>
    <w:p w:rsidR="00B45CEE" w:rsidRDefault="00C16A10">
      <w:pPr>
        <w:pStyle w:val="TOC2"/>
        <w:rPr>
          <w:rFonts w:asciiTheme="minorHAnsi" w:eastAsiaTheme="minorEastAsia" w:hAnsiTheme="minorHAnsi" w:cstheme="minorBidi"/>
          <w:sz w:val="22"/>
          <w:szCs w:val="22"/>
        </w:rPr>
      </w:pPr>
      <w:hyperlink w:anchor="_Toc415824618" w:history="1">
        <w:r w:rsidR="00B45CEE" w:rsidRPr="008369BF">
          <w:rPr>
            <w:rStyle w:val="Hyperlink"/>
            <w:bCs/>
          </w:rPr>
          <w:t>501.03.02</w:t>
        </w:r>
        <w:r w:rsidR="00B45CEE">
          <w:rPr>
            <w:rFonts w:asciiTheme="minorHAnsi" w:eastAsiaTheme="minorEastAsia" w:hAnsiTheme="minorHAnsi" w:cstheme="minorBidi"/>
            <w:sz w:val="22"/>
            <w:szCs w:val="22"/>
          </w:rPr>
          <w:tab/>
        </w:r>
        <w:r w:rsidR="00B45CEE" w:rsidRPr="008369BF">
          <w:rPr>
            <w:rStyle w:val="Hyperlink"/>
            <w:bCs/>
          </w:rPr>
          <w:t>Special Situations</w:t>
        </w:r>
        <w:r w:rsidR="00B45CEE">
          <w:rPr>
            <w:webHidden/>
          </w:rPr>
          <w:tab/>
        </w:r>
        <w:r w:rsidR="00B45CEE">
          <w:rPr>
            <w:webHidden/>
          </w:rPr>
          <w:fldChar w:fldCharType="begin"/>
        </w:r>
        <w:r w:rsidR="00B45CEE">
          <w:rPr>
            <w:webHidden/>
          </w:rPr>
          <w:instrText xml:space="preserve"> PAGEREF _Toc415824618 \h </w:instrText>
        </w:r>
        <w:r w:rsidR="00B45CEE">
          <w:rPr>
            <w:webHidden/>
          </w:rPr>
        </w:r>
        <w:r w:rsidR="00B45CEE">
          <w:rPr>
            <w:webHidden/>
          </w:rPr>
          <w:fldChar w:fldCharType="separate"/>
        </w:r>
        <w:r w:rsidR="00661E5F">
          <w:rPr>
            <w:webHidden/>
          </w:rPr>
          <w:t>4</w:t>
        </w:r>
        <w:r w:rsidR="00B45CEE">
          <w:rPr>
            <w:webHidden/>
          </w:rPr>
          <w:fldChar w:fldCharType="end"/>
        </w:r>
      </w:hyperlink>
    </w:p>
    <w:p w:rsidR="00B45CEE" w:rsidRDefault="00C16A10">
      <w:pPr>
        <w:pStyle w:val="TOC1"/>
        <w:rPr>
          <w:rFonts w:asciiTheme="minorHAnsi" w:eastAsiaTheme="minorEastAsia" w:hAnsiTheme="minorHAnsi" w:cstheme="minorBidi"/>
          <w:b w:val="0"/>
          <w:bCs w:val="0"/>
          <w:sz w:val="22"/>
          <w:szCs w:val="22"/>
        </w:rPr>
      </w:pPr>
      <w:hyperlink w:anchor="_Toc415824619" w:history="1">
        <w:r w:rsidR="00B45CEE" w:rsidRPr="008369BF">
          <w:rPr>
            <w:rStyle w:val="Hyperlink"/>
          </w:rPr>
          <w:t>501.04</w:t>
        </w:r>
        <w:r w:rsidR="00B45CEE">
          <w:rPr>
            <w:rFonts w:asciiTheme="minorHAnsi" w:eastAsiaTheme="minorEastAsia" w:hAnsiTheme="minorHAnsi" w:cstheme="minorBidi"/>
            <w:b w:val="0"/>
            <w:bCs w:val="0"/>
            <w:sz w:val="22"/>
            <w:szCs w:val="22"/>
          </w:rPr>
          <w:tab/>
        </w:r>
        <w:r w:rsidR="00B45CEE" w:rsidRPr="008369BF">
          <w:rPr>
            <w:rStyle w:val="Hyperlink"/>
          </w:rPr>
          <w:t>Budgeting and Resources</w:t>
        </w:r>
        <w:r w:rsidR="00B45CEE">
          <w:rPr>
            <w:webHidden/>
          </w:rPr>
          <w:tab/>
        </w:r>
        <w:r w:rsidR="00B45CEE">
          <w:rPr>
            <w:webHidden/>
          </w:rPr>
          <w:fldChar w:fldCharType="begin"/>
        </w:r>
        <w:r w:rsidR="00B45CEE">
          <w:rPr>
            <w:webHidden/>
          </w:rPr>
          <w:instrText xml:space="preserve"> PAGEREF _Toc415824619 \h </w:instrText>
        </w:r>
        <w:r w:rsidR="00B45CEE">
          <w:rPr>
            <w:webHidden/>
          </w:rPr>
        </w:r>
        <w:r w:rsidR="00B45CEE">
          <w:rPr>
            <w:webHidden/>
          </w:rPr>
          <w:fldChar w:fldCharType="separate"/>
        </w:r>
        <w:r w:rsidR="00661E5F">
          <w:rPr>
            <w:webHidden/>
          </w:rPr>
          <w:t>5</w:t>
        </w:r>
        <w:r w:rsidR="00B45CEE">
          <w:rPr>
            <w:webHidden/>
          </w:rPr>
          <w:fldChar w:fldCharType="end"/>
        </w:r>
      </w:hyperlink>
    </w:p>
    <w:p w:rsidR="00B45CEE" w:rsidRDefault="00C16A10">
      <w:pPr>
        <w:pStyle w:val="TOC2"/>
        <w:rPr>
          <w:rFonts w:asciiTheme="minorHAnsi" w:eastAsiaTheme="minorEastAsia" w:hAnsiTheme="minorHAnsi" w:cstheme="minorBidi"/>
          <w:sz w:val="22"/>
          <w:szCs w:val="22"/>
        </w:rPr>
      </w:pPr>
      <w:hyperlink w:anchor="_Toc415824620" w:history="1">
        <w:r w:rsidR="00B45CEE" w:rsidRPr="008369BF">
          <w:rPr>
            <w:rStyle w:val="Hyperlink"/>
          </w:rPr>
          <w:t>501.04.01</w:t>
        </w:r>
        <w:r w:rsidR="00B45CEE">
          <w:rPr>
            <w:rFonts w:asciiTheme="minorHAnsi" w:eastAsiaTheme="minorEastAsia" w:hAnsiTheme="minorHAnsi" w:cstheme="minorBidi"/>
            <w:sz w:val="22"/>
            <w:szCs w:val="22"/>
          </w:rPr>
          <w:tab/>
        </w:r>
        <w:r w:rsidR="00B45CEE" w:rsidRPr="008369BF">
          <w:rPr>
            <w:rStyle w:val="Hyperlink"/>
          </w:rPr>
          <w:t>Verification and Documentation of Income</w:t>
        </w:r>
        <w:r w:rsidR="00B45CEE">
          <w:rPr>
            <w:webHidden/>
          </w:rPr>
          <w:tab/>
        </w:r>
        <w:r w:rsidR="00B45CEE">
          <w:rPr>
            <w:webHidden/>
          </w:rPr>
          <w:fldChar w:fldCharType="begin"/>
        </w:r>
        <w:r w:rsidR="00B45CEE">
          <w:rPr>
            <w:webHidden/>
          </w:rPr>
          <w:instrText xml:space="preserve"> PAGEREF _Toc415824620 \h </w:instrText>
        </w:r>
        <w:r w:rsidR="00B45CEE">
          <w:rPr>
            <w:webHidden/>
          </w:rPr>
        </w:r>
        <w:r w:rsidR="00B45CEE">
          <w:rPr>
            <w:webHidden/>
          </w:rPr>
          <w:fldChar w:fldCharType="separate"/>
        </w:r>
        <w:r w:rsidR="00661E5F">
          <w:rPr>
            <w:webHidden/>
          </w:rPr>
          <w:t>5</w:t>
        </w:r>
        <w:r w:rsidR="00B45CEE">
          <w:rPr>
            <w:webHidden/>
          </w:rPr>
          <w:fldChar w:fldCharType="end"/>
        </w:r>
      </w:hyperlink>
    </w:p>
    <w:p w:rsidR="00B45CEE" w:rsidRDefault="00C16A10">
      <w:pPr>
        <w:pStyle w:val="TOC2"/>
        <w:rPr>
          <w:rFonts w:asciiTheme="minorHAnsi" w:eastAsiaTheme="minorEastAsia" w:hAnsiTheme="minorHAnsi" w:cstheme="minorBidi"/>
          <w:sz w:val="22"/>
          <w:szCs w:val="22"/>
        </w:rPr>
      </w:pPr>
      <w:hyperlink w:anchor="_Toc415824621" w:history="1">
        <w:r w:rsidR="00B45CEE" w:rsidRPr="008369BF">
          <w:rPr>
            <w:rStyle w:val="Hyperlink"/>
          </w:rPr>
          <w:t>501.04.02</w:t>
        </w:r>
        <w:r w:rsidR="00B45CEE">
          <w:rPr>
            <w:rFonts w:asciiTheme="minorHAnsi" w:eastAsiaTheme="minorEastAsia" w:hAnsiTheme="minorHAnsi" w:cstheme="minorBidi"/>
            <w:sz w:val="22"/>
            <w:szCs w:val="22"/>
          </w:rPr>
          <w:tab/>
        </w:r>
        <w:r w:rsidR="00B45CEE" w:rsidRPr="008369BF">
          <w:rPr>
            <w:rStyle w:val="Hyperlink"/>
          </w:rPr>
          <w:t>Earned Income Standard Work Deduction</w:t>
        </w:r>
        <w:r w:rsidR="00B45CEE">
          <w:rPr>
            <w:webHidden/>
          </w:rPr>
          <w:tab/>
        </w:r>
        <w:r w:rsidR="00B45CEE">
          <w:rPr>
            <w:webHidden/>
          </w:rPr>
          <w:fldChar w:fldCharType="begin"/>
        </w:r>
        <w:r w:rsidR="00B45CEE">
          <w:rPr>
            <w:webHidden/>
          </w:rPr>
          <w:instrText xml:space="preserve"> PAGEREF _Toc415824621 \h </w:instrText>
        </w:r>
        <w:r w:rsidR="00B45CEE">
          <w:rPr>
            <w:webHidden/>
          </w:rPr>
        </w:r>
        <w:r w:rsidR="00B45CEE">
          <w:rPr>
            <w:webHidden/>
          </w:rPr>
          <w:fldChar w:fldCharType="separate"/>
        </w:r>
        <w:r w:rsidR="00661E5F">
          <w:rPr>
            <w:webHidden/>
          </w:rPr>
          <w:t>5</w:t>
        </w:r>
        <w:r w:rsidR="00B45CEE">
          <w:rPr>
            <w:webHidden/>
          </w:rPr>
          <w:fldChar w:fldCharType="end"/>
        </w:r>
      </w:hyperlink>
    </w:p>
    <w:p w:rsidR="00B45CEE" w:rsidRDefault="00C16A10">
      <w:pPr>
        <w:pStyle w:val="TOC2"/>
        <w:rPr>
          <w:rFonts w:asciiTheme="minorHAnsi" w:eastAsiaTheme="minorEastAsia" w:hAnsiTheme="minorHAnsi" w:cstheme="minorBidi"/>
          <w:sz w:val="22"/>
          <w:szCs w:val="22"/>
        </w:rPr>
      </w:pPr>
      <w:hyperlink w:anchor="_Toc415824622" w:history="1">
        <w:r w:rsidR="00B45CEE" w:rsidRPr="008369BF">
          <w:rPr>
            <w:rStyle w:val="Hyperlink"/>
          </w:rPr>
          <w:t>501.04.03</w:t>
        </w:r>
        <w:r w:rsidR="00B45CEE">
          <w:rPr>
            <w:rFonts w:asciiTheme="minorHAnsi" w:eastAsiaTheme="minorEastAsia" w:hAnsiTheme="minorHAnsi" w:cstheme="minorBidi"/>
            <w:sz w:val="22"/>
            <w:szCs w:val="22"/>
          </w:rPr>
          <w:tab/>
        </w:r>
        <w:r w:rsidR="00B45CEE" w:rsidRPr="008369BF">
          <w:rPr>
            <w:rStyle w:val="Hyperlink"/>
          </w:rPr>
          <w:t>Child Support Deduction</w:t>
        </w:r>
        <w:r w:rsidR="00B45CEE">
          <w:rPr>
            <w:webHidden/>
          </w:rPr>
          <w:tab/>
        </w:r>
        <w:r w:rsidR="00B45CEE">
          <w:rPr>
            <w:webHidden/>
          </w:rPr>
          <w:fldChar w:fldCharType="begin"/>
        </w:r>
        <w:r w:rsidR="00B45CEE">
          <w:rPr>
            <w:webHidden/>
          </w:rPr>
          <w:instrText xml:space="preserve"> PAGEREF _Toc415824622 \h </w:instrText>
        </w:r>
        <w:r w:rsidR="00B45CEE">
          <w:rPr>
            <w:webHidden/>
          </w:rPr>
        </w:r>
        <w:r w:rsidR="00B45CEE">
          <w:rPr>
            <w:webHidden/>
          </w:rPr>
          <w:fldChar w:fldCharType="separate"/>
        </w:r>
        <w:r w:rsidR="00661E5F">
          <w:rPr>
            <w:webHidden/>
          </w:rPr>
          <w:t>6</w:t>
        </w:r>
        <w:r w:rsidR="00B45CEE">
          <w:rPr>
            <w:webHidden/>
          </w:rPr>
          <w:fldChar w:fldCharType="end"/>
        </w:r>
      </w:hyperlink>
    </w:p>
    <w:p w:rsidR="00B45CEE" w:rsidRDefault="00C16A10">
      <w:pPr>
        <w:pStyle w:val="TOC2"/>
        <w:rPr>
          <w:rFonts w:asciiTheme="minorHAnsi" w:eastAsiaTheme="minorEastAsia" w:hAnsiTheme="minorHAnsi" w:cstheme="minorBidi"/>
          <w:sz w:val="22"/>
          <w:szCs w:val="22"/>
        </w:rPr>
      </w:pPr>
      <w:hyperlink w:anchor="_Toc415824623" w:history="1">
        <w:r w:rsidR="00B45CEE" w:rsidRPr="008369BF">
          <w:rPr>
            <w:rStyle w:val="Hyperlink"/>
          </w:rPr>
          <w:t>501.04.04</w:t>
        </w:r>
        <w:r w:rsidR="00B45CEE">
          <w:rPr>
            <w:rFonts w:asciiTheme="minorHAnsi" w:eastAsiaTheme="minorEastAsia" w:hAnsiTheme="minorHAnsi" w:cstheme="minorBidi"/>
            <w:sz w:val="22"/>
            <w:szCs w:val="22"/>
          </w:rPr>
          <w:tab/>
        </w:r>
        <w:r w:rsidR="00B45CEE" w:rsidRPr="008369BF">
          <w:rPr>
            <w:rStyle w:val="Hyperlink"/>
          </w:rPr>
          <w:t>Child/Dependent Care Deduction</w:t>
        </w:r>
        <w:r w:rsidR="00B45CEE">
          <w:rPr>
            <w:webHidden/>
          </w:rPr>
          <w:tab/>
        </w:r>
        <w:r w:rsidR="00B45CEE">
          <w:rPr>
            <w:webHidden/>
          </w:rPr>
          <w:fldChar w:fldCharType="begin"/>
        </w:r>
        <w:r w:rsidR="00B45CEE">
          <w:rPr>
            <w:webHidden/>
          </w:rPr>
          <w:instrText xml:space="preserve"> PAGEREF _Toc415824623 \h </w:instrText>
        </w:r>
        <w:r w:rsidR="00B45CEE">
          <w:rPr>
            <w:webHidden/>
          </w:rPr>
        </w:r>
        <w:r w:rsidR="00B45CEE">
          <w:rPr>
            <w:webHidden/>
          </w:rPr>
          <w:fldChar w:fldCharType="separate"/>
        </w:r>
        <w:r w:rsidR="00661E5F">
          <w:rPr>
            <w:webHidden/>
          </w:rPr>
          <w:t>6</w:t>
        </w:r>
        <w:r w:rsidR="00B45CEE">
          <w:rPr>
            <w:webHidden/>
          </w:rPr>
          <w:fldChar w:fldCharType="end"/>
        </w:r>
      </w:hyperlink>
    </w:p>
    <w:p w:rsidR="00B45CEE" w:rsidRDefault="00C16A10">
      <w:pPr>
        <w:pStyle w:val="TOC1"/>
        <w:rPr>
          <w:rFonts w:asciiTheme="minorHAnsi" w:eastAsiaTheme="minorEastAsia" w:hAnsiTheme="minorHAnsi" w:cstheme="minorBidi"/>
          <w:b w:val="0"/>
          <w:bCs w:val="0"/>
          <w:sz w:val="22"/>
          <w:szCs w:val="22"/>
        </w:rPr>
      </w:pPr>
      <w:hyperlink w:anchor="_Toc415824624" w:history="1">
        <w:r w:rsidR="00B45CEE" w:rsidRPr="008369BF">
          <w:rPr>
            <w:rStyle w:val="Hyperlink"/>
          </w:rPr>
          <w:t>501.05</w:t>
        </w:r>
        <w:r w:rsidR="00B45CEE">
          <w:rPr>
            <w:rFonts w:asciiTheme="minorHAnsi" w:eastAsiaTheme="minorEastAsia" w:hAnsiTheme="minorHAnsi" w:cstheme="minorBidi"/>
            <w:b w:val="0"/>
            <w:bCs w:val="0"/>
            <w:sz w:val="22"/>
            <w:szCs w:val="22"/>
          </w:rPr>
          <w:tab/>
        </w:r>
        <w:r w:rsidR="00B45CEE" w:rsidRPr="008369BF">
          <w:rPr>
            <w:rStyle w:val="Hyperlink"/>
          </w:rPr>
          <w:t>Effective Date of Application and Retroactive Coverage</w:t>
        </w:r>
        <w:r w:rsidR="00B45CEE">
          <w:rPr>
            <w:webHidden/>
          </w:rPr>
          <w:tab/>
        </w:r>
        <w:r w:rsidR="00B45CEE">
          <w:rPr>
            <w:webHidden/>
          </w:rPr>
          <w:fldChar w:fldCharType="begin"/>
        </w:r>
        <w:r w:rsidR="00B45CEE">
          <w:rPr>
            <w:webHidden/>
          </w:rPr>
          <w:instrText xml:space="preserve"> PAGEREF _Toc415824624 \h </w:instrText>
        </w:r>
        <w:r w:rsidR="00B45CEE">
          <w:rPr>
            <w:webHidden/>
          </w:rPr>
        </w:r>
        <w:r w:rsidR="00B45CEE">
          <w:rPr>
            <w:webHidden/>
          </w:rPr>
          <w:fldChar w:fldCharType="separate"/>
        </w:r>
        <w:r w:rsidR="00661E5F">
          <w:rPr>
            <w:webHidden/>
          </w:rPr>
          <w:t>7</w:t>
        </w:r>
        <w:r w:rsidR="00B45CEE">
          <w:rPr>
            <w:webHidden/>
          </w:rPr>
          <w:fldChar w:fldCharType="end"/>
        </w:r>
      </w:hyperlink>
    </w:p>
    <w:p w:rsidR="00B45CEE" w:rsidRDefault="00C16A10">
      <w:pPr>
        <w:pStyle w:val="TOC1"/>
        <w:rPr>
          <w:rFonts w:asciiTheme="minorHAnsi" w:eastAsiaTheme="minorEastAsia" w:hAnsiTheme="minorHAnsi" w:cstheme="minorBidi"/>
          <w:b w:val="0"/>
          <w:bCs w:val="0"/>
          <w:sz w:val="22"/>
          <w:szCs w:val="22"/>
        </w:rPr>
      </w:pPr>
      <w:hyperlink w:anchor="_Toc415824625" w:history="1">
        <w:r w:rsidR="00B45CEE" w:rsidRPr="008369BF">
          <w:rPr>
            <w:rStyle w:val="Hyperlink"/>
          </w:rPr>
          <w:t>501.06</w:t>
        </w:r>
        <w:r w:rsidR="00B45CEE">
          <w:rPr>
            <w:rFonts w:asciiTheme="minorHAnsi" w:eastAsiaTheme="minorEastAsia" w:hAnsiTheme="minorHAnsi" w:cstheme="minorBidi"/>
            <w:b w:val="0"/>
            <w:bCs w:val="0"/>
            <w:sz w:val="22"/>
            <w:szCs w:val="22"/>
          </w:rPr>
          <w:tab/>
        </w:r>
        <w:r w:rsidR="00B45CEE" w:rsidRPr="008369BF">
          <w:rPr>
            <w:rStyle w:val="Hyperlink"/>
          </w:rPr>
          <w:t>Elig</w:t>
        </w:r>
        <w:bookmarkStart w:id="0" w:name="_GoBack"/>
        <w:bookmarkEnd w:id="0"/>
        <w:r w:rsidR="00B45CEE" w:rsidRPr="008369BF">
          <w:rPr>
            <w:rStyle w:val="Hyperlink"/>
          </w:rPr>
          <w:t>ibility Review</w:t>
        </w:r>
        <w:r w:rsidR="00B45CEE">
          <w:rPr>
            <w:webHidden/>
          </w:rPr>
          <w:tab/>
        </w:r>
        <w:r w:rsidR="00B45CEE">
          <w:rPr>
            <w:webHidden/>
          </w:rPr>
          <w:fldChar w:fldCharType="begin"/>
        </w:r>
        <w:r w:rsidR="00B45CEE">
          <w:rPr>
            <w:webHidden/>
          </w:rPr>
          <w:instrText xml:space="preserve"> PAGEREF _Toc415824625 \h </w:instrText>
        </w:r>
        <w:r w:rsidR="00B45CEE">
          <w:rPr>
            <w:webHidden/>
          </w:rPr>
        </w:r>
        <w:r w:rsidR="00B45CEE">
          <w:rPr>
            <w:webHidden/>
          </w:rPr>
          <w:fldChar w:fldCharType="separate"/>
        </w:r>
        <w:r w:rsidR="00661E5F">
          <w:rPr>
            <w:webHidden/>
          </w:rPr>
          <w:t>7</w:t>
        </w:r>
        <w:r w:rsidR="00B45CEE">
          <w:rPr>
            <w:webHidden/>
          </w:rPr>
          <w:fldChar w:fldCharType="end"/>
        </w:r>
      </w:hyperlink>
    </w:p>
    <w:p w:rsidR="00B45CEE" w:rsidRDefault="00C16A10">
      <w:pPr>
        <w:pStyle w:val="TOC1"/>
        <w:rPr>
          <w:rFonts w:asciiTheme="minorHAnsi" w:eastAsiaTheme="minorEastAsia" w:hAnsiTheme="minorHAnsi" w:cstheme="minorBidi"/>
          <w:b w:val="0"/>
          <w:bCs w:val="0"/>
          <w:sz w:val="22"/>
          <w:szCs w:val="22"/>
        </w:rPr>
      </w:pPr>
      <w:hyperlink w:anchor="_Toc415824626" w:history="1">
        <w:r w:rsidR="00B45CEE" w:rsidRPr="008369BF">
          <w:rPr>
            <w:rStyle w:val="Hyperlink"/>
          </w:rPr>
          <w:t>501.07</w:t>
        </w:r>
        <w:r w:rsidR="00B45CEE">
          <w:rPr>
            <w:rFonts w:asciiTheme="minorHAnsi" w:eastAsiaTheme="minorEastAsia" w:hAnsiTheme="minorHAnsi" w:cstheme="minorBidi"/>
            <w:b w:val="0"/>
            <w:bCs w:val="0"/>
            <w:sz w:val="22"/>
            <w:szCs w:val="22"/>
          </w:rPr>
          <w:tab/>
        </w:r>
        <w:r w:rsidR="00B45CEE" w:rsidRPr="008369BF">
          <w:rPr>
            <w:rStyle w:val="Hyperlink"/>
          </w:rPr>
          <w:t>Termination of Coverage</w:t>
        </w:r>
        <w:r w:rsidR="00B45CEE">
          <w:rPr>
            <w:webHidden/>
          </w:rPr>
          <w:tab/>
        </w:r>
        <w:r w:rsidR="00B45CEE">
          <w:rPr>
            <w:webHidden/>
          </w:rPr>
          <w:fldChar w:fldCharType="begin"/>
        </w:r>
        <w:r w:rsidR="00B45CEE">
          <w:rPr>
            <w:webHidden/>
          </w:rPr>
          <w:instrText xml:space="preserve"> PAGEREF _Toc415824626 \h </w:instrText>
        </w:r>
        <w:r w:rsidR="00B45CEE">
          <w:rPr>
            <w:webHidden/>
          </w:rPr>
        </w:r>
        <w:r w:rsidR="00B45CEE">
          <w:rPr>
            <w:webHidden/>
          </w:rPr>
          <w:fldChar w:fldCharType="separate"/>
        </w:r>
        <w:r w:rsidR="00661E5F">
          <w:rPr>
            <w:webHidden/>
          </w:rPr>
          <w:t>7</w:t>
        </w:r>
        <w:r w:rsidR="00B45CEE">
          <w:rPr>
            <w:webHidden/>
          </w:rPr>
          <w:fldChar w:fldCharType="end"/>
        </w:r>
      </w:hyperlink>
    </w:p>
    <w:p w:rsidR="00834B59" w:rsidRPr="001705C7" w:rsidRDefault="00834B59">
      <w:pPr>
        <w:pStyle w:val="BodyText"/>
      </w:pPr>
      <w:r w:rsidRPr="001705C7">
        <w:fldChar w:fldCharType="end"/>
      </w:r>
    </w:p>
    <w:p w:rsidR="004E2D22" w:rsidRPr="001705C7" w:rsidRDefault="00834B59" w:rsidP="00B45CEE">
      <w:pPr>
        <w:pStyle w:val="ManualHeading1"/>
        <w:keepNext w:val="0"/>
        <w:widowControl w:val="0"/>
        <w:tabs>
          <w:tab w:val="clear" w:pos="10440"/>
          <w:tab w:val="right" w:pos="9360"/>
        </w:tabs>
        <w:rPr>
          <w:b/>
          <w:sz w:val="24"/>
        </w:rPr>
      </w:pPr>
      <w:r w:rsidRPr="001705C7">
        <w:rPr>
          <w:sz w:val="24"/>
        </w:rPr>
        <w:br w:type="page"/>
      </w:r>
      <w:bookmarkStart w:id="1" w:name="_Toc165693332"/>
      <w:bookmarkStart w:id="2" w:name="_Toc415824614"/>
      <w:r w:rsidR="004E2D22" w:rsidRPr="001705C7">
        <w:rPr>
          <w:b/>
          <w:sz w:val="24"/>
        </w:rPr>
        <w:lastRenderedPageBreak/>
        <w:t>501.01</w:t>
      </w:r>
      <w:r w:rsidR="004E2D22" w:rsidRPr="001705C7">
        <w:rPr>
          <w:b/>
          <w:sz w:val="24"/>
        </w:rPr>
        <w:tab/>
        <w:t>Introduction</w:t>
      </w:r>
      <w:bookmarkEnd w:id="1"/>
      <w:bookmarkEnd w:id="2"/>
    </w:p>
    <w:p w:rsidR="00E02D79" w:rsidRPr="00B45CEE" w:rsidRDefault="00E02D79" w:rsidP="00E02D79">
      <w:pPr>
        <w:pStyle w:val="BodyText"/>
        <w:widowControl w:val="0"/>
        <w:jc w:val="right"/>
        <w:rPr>
          <w:sz w:val="16"/>
        </w:rPr>
      </w:pPr>
      <w:r>
        <w:rPr>
          <w:sz w:val="16"/>
        </w:rPr>
        <w:t>(Rev. 03/01/19)</w:t>
      </w:r>
    </w:p>
    <w:p w:rsidR="00D22AA4" w:rsidRDefault="004E2D22" w:rsidP="00B45CEE">
      <w:pPr>
        <w:pStyle w:val="BodyText"/>
        <w:widowControl w:val="0"/>
        <w:jc w:val="both"/>
      </w:pPr>
      <w:r w:rsidRPr="001705C7">
        <w:t xml:space="preserve">The Breast and Cervical Cancer </w:t>
      </w:r>
      <w:r w:rsidR="00F7435C" w:rsidRPr="001705C7">
        <w:t>Prevention</w:t>
      </w:r>
      <w:r w:rsidRPr="001705C7">
        <w:t xml:space="preserve"> and Treatment Act of 2000 (BCCPTA) allows states to provide full Medicaid benefits to uninsured </w:t>
      </w:r>
      <w:r w:rsidR="005D071C" w:rsidRPr="001705C7">
        <w:t>individuals</w:t>
      </w:r>
      <w:r w:rsidRPr="001705C7">
        <w:t xml:space="preserve"> who are found in need of treatment for breast</w:t>
      </w:r>
      <w:r w:rsidR="00980D52" w:rsidRPr="001705C7">
        <w:t xml:space="preserve"> cancer,</w:t>
      </w:r>
      <w:r w:rsidRPr="001705C7">
        <w:t xml:space="preserve"> cervical cancer</w:t>
      </w:r>
      <w:r w:rsidR="00980D52" w:rsidRPr="001705C7">
        <w:t>,</w:t>
      </w:r>
      <w:r w:rsidRPr="001705C7">
        <w:t xml:space="preserve"> or pre-cancerous lesions (CIN 2/3 or atypical hyperplasia)</w:t>
      </w:r>
      <w:r w:rsidR="00E02D79">
        <w:t>,</w:t>
      </w:r>
      <w:r w:rsidR="00E02D79" w:rsidRPr="00E02D79">
        <w:t xml:space="preserve"> including cancer that has originated in or metastasized to the breast or cervix.</w:t>
      </w:r>
      <w:r w:rsidRPr="001705C7">
        <w:t xml:space="preserve"> This coverage group is known as the Breast and Cervical Cancer Program (BCCP)</w:t>
      </w:r>
      <w:r w:rsidR="00980D52" w:rsidRPr="001705C7">
        <w:t>,</w:t>
      </w:r>
      <w:r w:rsidRPr="001705C7">
        <w:t xml:space="preserve"> and was first implemented October 1, 2001.</w:t>
      </w:r>
    </w:p>
    <w:p w:rsidR="00DA50F8" w:rsidRPr="001705C7" w:rsidRDefault="00DA50F8" w:rsidP="00B45CEE">
      <w:pPr>
        <w:pStyle w:val="BodyText"/>
        <w:widowControl w:val="0"/>
        <w:jc w:val="both"/>
      </w:pPr>
    </w:p>
    <w:p w:rsidR="00823C38" w:rsidRPr="001705C7" w:rsidRDefault="00D22AA4" w:rsidP="00B45CEE">
      <w:pPr>
        <w:pStyle w:val="BodyText"/>
        <w:widowControl w:val="0"/>
        <w:jc w:val="both"/>
      </w:pPr>
      <w:r w:rsidRPr="001705C7">
        <w:t xml:space="preserve">The BCCP is a non-MAGI category, and does not follow MAGI methodology. </w:t>
      </w:r>
      <w:r w:rsidR="00823C38" w:rsidRPr="00844A52">
        <w:rPr>
          <w:bCs/>
        </w:rPr>
        <w:t>There is no resource requirement for BCCP</w:t>
      </w:r>
      <w:r w:rsidR="00823C38" w:rsidRPr="001705C7">
        <w:rPr>
          <w:bCs/>
        </w:rPr>
        <w:t>.</w:t>
      </w:r>
    </w:p>
    <w:p w:rsidR="004E2D22" w:rsidRPr="001705C7" w:rsidRDefault="004E2D22" w:rsidP="00B45CEE">
      <w:pPr>
        <w:pStyle w:val="BodyText"/>
        <w:widowControl w:val="0"/>
      </w:pPr>
    </w:p>
    <w:p w:rsidR="004E2D22" w:rsidRPr="001705C7" w:rsidRDefault="004E2D22" w:rsidP="00B45CEE">
      <w:pPr>
        <w:pStyle w:val="ManualHeading1"/>
        <w:keepNext w:val="0"/>
        <w:widowControl w:val="0"/>
        <w:tabs>
          <w:tab w:val="clear" w:pos="10440"/>
          <w:tab w:val="right" w:pos="9360"/>
        </w:tabs>
        <w:rPr>
          <w:b/>
          <w:sz w:val="24"/>
        </w:rPr>
      </w:pPr>
      <w:bookmarkStart w:id="3" w:name="_Toc165693333"/>
      <w:bookmarkStart w:id="4" w:name="_Toc415824615"/>
      <w:r w:rsidRPr="001705C7">
        <w:rPr>
          <w:b/>
          <w:sz w:val="24"/>
        </w:rPr>
        <w:t>501.02</w:t>
      </w:r>
      <w:r w:rsidRPr="001705C7">
        <w:rPr>
          <w:b/>
          <w:sz w:val="24"/>
        </w:rPr>
        <w:tab/>
      </w:r>
      <w:bookmarkEnd w:id="3"/>
      <w:r w:rsidR="00B45CEE">
        <w:rPr>
          <w:b/>
          <w:sz w:val="24"/>
        </w:rPr>
        <w:t>BCCP Forms</w:t>
      </w:r>
      <w:bookmarkEnd w:id="4"/>
    </w:p>
    <w:p w:rsidR="004E2D22" w:rsidRPr="00B45CEE" w:rsidRDefault="00B45CEE" w:rsidP="00B45CEE">
      <w:pPr>
        <w:pStyle w:val="BodyText"/>
        <w:widowControl w:val="0"/>
        <w:jc w:val="right"/>
        <w:rPr>
          <w:sz w:val="16"/>
        </w:rPr>
      </w:pPr>
      <w:r>
        <w:rPr>
          <w:sz w:val="16"/>
        </w:rPr>
        <w:t>(Rev. 04/01/15)</w:t>
      </w:r>
    </w:p>
    <w:p w:rsidR="00B45CEE" w:rsidRPr="00B45CEE" w:rsidRDefault="00B45CEE" w:rsidP="00B45CEE">
      <w:pPr>
        <w:pStyle w:val="BodyText"/>
        <w:widowControl w:val="0"/>
        <w:rPr>
          <w:bCs/>
        </w:rPr>
      </w:pPr>
      <w:r w:rsidRPr="00B45CEE">
        <w:rPr>
          <w:bCs/>
        </w:rPr>
        <w:t>The following forms are required to apply for BCCP coverage:</w:t>
      </w:r>
    </w:p>
    <w:p w:rsidR="00B45CEE" w:rsidRPr="00B45CEE" w:rsidRDefault="00B45CEE" w:rsidP="00B45CEE">
      <w:pPr>
        <w:pStyle w:val="BodyText"/>
        <w:widowControl w:val="0"/>
        <w:rPr>
          <w:bCs/>
        </w:rPr>
      </w:pPr>
    </w:p>
    <w:p w:rsidR="00B45CEE" w:rsidRPr="00B45CEE" w:rsidRDefault="00B45CEE" w:rsidP="00B45CEE">
      <w:pPr>
        <w:pStyle w:val="BodyText"/>
        <w:widowControl w:val="0"/>
        <w:numPr>
          <w:ilvl w:val="0"/>
          <w:numId w:val="7"/>
        </w:numPr>
      </w:pPr>
      <w:r w:rsidRPr="00B45CEE">
        <w:rPr>
          <w:bCs/>
        </w:rPr>
        <w:t>The Healthy Connections Application, DHHS Form 3400</w:t>
      </w:r>
    </w:p>
    <w:p w:rsidR="00B45CEE" w:rsidRPr="00B45CEE" w:rsidRDefault="00B45CEE" w:rsidP="00B45CEE">
      <w:pPr>
        <w:pStyle w:val="BodyText"/>
        <w:widowControl w:val="0"/>
        <w:numPr>
          <w:ilvl w:val="1"/>
          <w:numId w:val="7"/>
        </w:numPr>
      </w:pPr>
      <w:r w:rsidRPr="00B45CEE">
        <w:rPr>
          <w:bCs/>
        </w:rPr>
        <w:t>Form 3400 must be completed and signed by the applicant.</w:t>
      </w:r>
    </w:p>
    <w:p w:rsidR="00B45CEE" w:rsidRPr="00B45CEE" w:rsidRDefault="00B45CEE" w:rsidP="00B45CEE">
      <w:pPr>
        <w:pStyle w:val="BodyText"/>
        <w:widowControl w:val="0"/>
        <w:numPr>
          <w:ilvl w:val="0"/>
          <w:numId w:val="7"/>
        </w:numPr>
      </w:pPr>
      <w:r w:rsidRPr="00B45CEE">
        <w:t xml:space="preserve">The </w:t>
      </w:r>
      <w:r w:rsidRPr="00B45CEE">
        <w:rPr>
          <w:bCs/>
        </w:rPr>
        <w:t>Breast and Cervical Cancer Program Application Addendum</w:t>
      </w:r>
      <w:r w:rsidRPr="00B45CEE">
        <w:t xml:space="preserve">, </w:t>
      </w:r>
      <w:hyperlink r:id="rId13" w:history="1">
        <w:r w:rsidRPr="00B45CEE">
          <w:rPr>
            <w:rStyle w:val="Hyperlink"/>
          </w:rPr>
          <w:t>DHHS Form 913-A</w:t>
        </w:r>
      </w:hyperlink>
    </w:p>
    <w:p w:rsidR="00B45CEE" w:rsidRPr="00B45CEE" w:rsidRDefault="00B45CEE" w:rsidP="00B45CEE">
      <w:pPr>
        <w:pStyle w:val="BodyText"/>
        <w:widowControl w:val="0"/>
        <w:numPr>
          <w:ilvl w:val="1"/>
          <w:numId w:val="7"/>
        </w:numPr>
      </w:pPr>
      <w:r w:rsidRPr="00B45CEE">
        <w:t>Form 913-A must be completed by the South Carolina Department of Health and Environmental Control (SCDHEC), or any other provider who is providing the diagnosis, and signed by the applicant.</w:t>
      </w:r>
    </w:p>
    <w:p w:rsidR="00B45CEE" w:rsidRPr="00B45CEE" w:rsidRDefault="00B45CEE" w:rsidP="00B45CEE">
      <w:pPr>
        <w:pStyle w:val="BodyText"/>
        <w:widowControl w:val="0"/>
        <w:numPr>
          <w:ilvl w:val="1"/>
          <w:numId w:val="7"/>
        </w:numPr>
      </w:pPr>
      <w:r w:rsidRPr="00B45CEE">
        <w:t>The worker must complete the first page of the Non-MAGI Workbook with the applicant’s budget group information. In the Notes and Documentation section, the worker must include the following information:</w:t>
      </w:r>
    </w:p>
    <w:p w:rsidR="00B45CEE" w:rsidRPr="00B45CEE" w:rsidRDefault="00B45CEE" w:rsidP="00B45CEE">
      <w:pPr>
        <w:pStyle w:val="BodyText"/>
        <w:widowControl w:val="0"/>
        <w:numPr>
          <w:ilvl w:val="2"/>
          <w:numId w:val="7"/>
        </w:numPr>
      </w:pPr>
      <w:r w:rsidRPr="00B45CEE">
        <w:t>Family size,</w:t>
      </w:r>
    </w:p>
    <w:p w:rsidR="00B45CEE" w:rsidRPr="00B45CEE" w:rsidRDefault="00B45CEE" w:rsidP="00B45CEE">
      <w:pPr>
        <w:pStyle w:val="BodyText"/>
        <w:widowControl w:val="0"/>
        <w:numPr>
          <w:ilvl w:val="2"/>
          <w:numId w:val="7"/>
        </w:numPr>
      </w:pPr>
      <w:r w:rsidRPr="00B45CEE">
        <w:t>Income limit,</w:t>
      </w:r>
    </w:p>
    <w:p w:rsidR="00B45CEE" w:rsidRPr="00B45CEE" w:rsidRDefault="00B45CEE" w:rsidP="00B45CEE">
      <w:pPr>
        <w:pStyle w:val="BodyText"/>
        <w:widowControl w:val="0"/>
        <w:numPr>
          <w:ilvl w:val="2"/>
          <w:numId w:val="7"/>
        </w:numPr>
      </w:pPr>
      <w:r w:rsidRPr="00B45CEE">
        <w:t xml:space="preserve">Gross family income, and </w:t>
      </w:r>
    </w:p>
    <w:p w:rsidR="00B45CEE" w:rsidRPr="00B45CEE" w:rsidRDefault="00B45CEE" w:rsidP="00B45CEE">
      <w:pPr>
        <w:pStyle w:val="BodyText"/>
        <w:widowControl w:val="0"/>
        <w:numPr>
          <w:ilvl w:val="2"/>
          <w:numId w:val="7"/>
        </w:numPr>
      </w:pPr>
      <w:r w:rsidRPr="00B45CEE">
        <w:t>Eligibility status.</w:t>
      </w:r>
    </w:p>
    <w:p w:rsidR="00B45CEE" w:rsidRPr="00B45CEE" w:rsidRDefault="00B45CEE" w:rsidP="00B45CEE">
      <w:pPr>
        <w:pStyle w:val="BodyText"/>
        <w:widowControl w:val="0"/>
        <w:numPr>
          <w:ilvl w:val="0"/>
          <w:numId w:val="7"/>
        </w:numPr>
      </w:pPr>
      <w:r w:rsidRPr="00B45CEE">
        <w:t>The Addendum for Specialty Programs, DHHS Form 3400-A</w:t>
      </w:r>
    </w:p>
    <w:p w:rsidR="00B45CEE" w:rsidRPr="00B45CEE" w:rsidRDefault="00B45CEE" w:rsidP="00B45CEE">
      <w:pPr>
        <w:pStyle w:val="BodyText"/>
        <w:widowControl w:val="0"/>
        <w:numPr>
          <w:ilvl w:val="1"/>
          <w:numId w:val="7"/>
        </w:numPr>
      </w:pPr>
      <w:r w:rsidRPr="00B45CEE">
        <w:t>Form 3400-A must be completed and signed by the applicant if the applicant needs to be assessed under a different program, such as Aged, Blind, Disabled (ABD).</w:t>
      </w:r>
    </w:p>
    <w:p w:rsidR="004E2D22" w:rsidRPr="001705C7" w:rsidRDefault="004E2D22" w:rsidP="00B45CEE">
      <w:pPr>
        <w:pStyle w:val="BodyText"/>
        <w:widowControl w:val="0"/>
      </w:pPr>
    </w:p>
    <w:p w:rsidR="004E2D22" w:rsidRPr="001705C7" w:rsidRDefault="004E2D22" w:rsidP="00B45CEE">
      <w:pPr>
        <w:pStyle w:val="ManualHeading1"/>
        <w:keepNext w:val="0"/>
        <w:widowControl w:val="0"/>
        <w:tabs>
          <w:tab w:val="clear" w:pos="10440"/>
          <w:tab w:val="right" w:pos="9360"/>
        </w:tabs>
        <w:rPr>
          <w:b/>
          <w:sz w:val="24"/>
        </w:rPr>
      </w:pPr>
      <w:bookmarkStart w:id="5" w:name="MPPM_501_03"/>
      <w:bookmarkStart w:id="6" w:name="_Toc165693334"/>
      <w:bookmarkStart w:id="7" w:name="_Toc415824616"/>
      <w:r w:rsidRPr="001705C7">
        <w:rPr>
          <w:b/>
          <w:sz w:val="24"/>
        </w:rPr>
        <w:t>501.03</w:t>
      </w:r>
      <w:bookmarkEnd w:id="5"/>
      <w:r w:rsidRPr="001705C7">
        <w:rPr>
          <w:b/>
          <w:sz w:val="24"/>
        </w:rPr>
        <w:tab/>
        <w:t>Eligibility Criteria</w:t>
      </w:r>
      <w:bookmarkEnd w:id="6"/>
      <w:bookmarkEnd w:id="7"/>
    </w:p>
    <w:p w:rsidR="004E2D22" w:rsidRPr="001705C7" w:rsidRDefault="004E2D22" w:rsidP="00B45CEE">
      <w:pPr>
        <w:pStyle w:val="BodyText"/>
        <w:widowControl w:val="0"/>
      </w:pPr>
    </w:p>
    <w:p w:rsidR="004E2D22" w:rsidRPr="001705C7" w:rsidRDefault="004E2D22" w:rsidP="00B45CEE">
      <w:pPr>
        <w:pStyle w:val="BodyText"/>
        <w:widowControl w:val="0"/>
        <w:jc w:val="both"/>
      </w:pPr>
      <w:r w:rsidRPr="001705C7">
        <w:t xml:space="preserve">South Carolina covers two </w:t>
      </w:r>
      <w:r w:rsidR="00745B0E" w:rsidRPr="001705C7">
        <w:t xml:space="preserve">categories of patients that may be covered by the BCCP. </w:t>
      </w:r>
      <w:r w:rsidR="004F3295" w:rsidRPr="001705C7">
        <w:t xml:space="preserve">The categories </w:t>
      </w:r>
      <w:r w:rsidR="00823C38" w:rsidRPr="001705C7">
        <w:t>include</w:t>
      </w:r>
      <w:r w:rsidR="004F3295" w:rsidRPr="001705C7">
        <w:t xml:space="preserve"> the</w:t>
      </w:r>
      <w:r w:rsidRPr="001705C7">
        <w:t xml:space="preserve"> Non-Best Chance Network Patient</w:t>
      </w:r>
      <w:r w:rsidR="00881F27" w:rsidRPr="001705C7">
        <w:t xml:space="preserve"> and the Best Chance Network Patient.</w:t>
      </w:r>
      <w:r w:rsidR="00DA50F8">
        <w:t xml:space="preserve"> </w:t>
      </w:r>
      <w:r w:rsidR="00881F27" w:rsidRPr="001705C7">
        <w:t xml:space="preserve">Both options are </w:t>
      </w:r>
      <w:r w:rsidRPr="001705C7">
        <w:t>explained below.</w:t>
      </w:r>
    </w:p>
    <w:p w:rsidR="004E2D22" w:rsidRPr="001705C7" w:rsidRDefault="004E2D22" w:rsidP="00B45CEE">
      <w:pPr>
        <w:pStyle w:val="BodyText"/>
        <w:widowControl w:val="0"/>
      </w:pPr>
    </w:p>
    <w:p w:rsidR="004E2D22" w:rsidRPr="003F4A96" w:rsidRDefault="004E2D22" w:rsidP="00B45CEE">
      <w:pPr>
        <w:pStyle w:val="ManualHeading2"/>
        <w:keepNext w:val="0"/>
        <w:tabs>
          <w:tab w:val="right" w:pos="9360"/>
        </w:tabs>
        <w:rPr>
          <w:b w:val="0"/>
          <w:bCs/>
          <w:sz w:val="16"/>
        </w:rPr>
      </w:pPr>
      <w:bookmarkStart w:id="8" w:name="_Toc165693336"/>
      <w:bookmarkStart w:id="9" w:name="_Toc368927484"/>
      <w:bookmarkStart w:id="10" w:name="_Toc415824617"/>
      <w:r w:rsidRPr="001705C7">
        <w:rPr>
          <w:bCs/>
        </w:rPr>
        <w:t>501.03.0</w:t>
      </w:r>
      <w:r w:rsidR="007A7F8C">
        <w:rPr>
          <w:bCs/>
        </w:rPr>
        <w:t>1</w:t>
      </w:r>
      <w:r w:rsidRPr="001705C7">
        <w:rPr>
          <w:bCs/>
        </w:rPr>
        <w:tab/>
        <w:t xml:space="preserve">Non-Best Chance Network </w:t>
      </w:r>
      <w:r w:rsidR="003F4A96">
        <w:rPr>
          <w:bCs/>
        </w:rPr>
        <w:t xml:space="preserve">and Best Chance Network </w:t>
      </w:r>
      <w:r w:rsidRPr="001705C7">
        <w:rPr>
          <w:bCs/>
        </w:rPr>
        <w:t>Patient</w:t>
      </w:r>
      <w:bookmarkEnd w:id="8"/>
      <w:bookmarkEnd w:id="9"/>
      <w:bookmarkEnd w:id="10"/>
    </w:p>
    <w:p w:rsidR="004E2D22" w:rsidRPr="00B45CEE" w:rsidRDefault="00485BD2" w:rsidP="00B45CEE">
      <w:pPr>
        <w:pStyle w:val="BodyText"/>
        <w:widowControl w:val="0"/>
        <w:jc w:val="right"/>
        <w:rPr>
          <w:b/>
          <w:bCs/>
          <w:sz w:val="16"/>
          <w:szCs w:val="16"/>
        </w:rPr>
      </w:pPr>
      <w:r w:rsidRPr="00B45CEE">
        <w:rPr>
          <w:bCs/>
          <w:sz w:val="16"/>
          <w:szCs w:val="16"/>
        </w:rPr>
        <w:t>(Rev. 0</w:t>
      </w:r>
      <w:r w:rsidR="00E02D79">
        <w:rPr>
          <w:bCs/>
          <w:sz w:val="16"/>
          <w:szCs w:val="16"/>
        </w:rPr>
        <w:t>3</w:t>
      </w:r>
      <w:r w:rsidRPr="00B45CEE">
        <w:rPr>
          <w:bCs/>
          <w:sz w:val="16"/>
          <w:szCs w:val="16"/>
        </w:rPr>
        <w:t>/01/1</w:t>
      </w:r>
      <w:r w:rsidR="00E02D79">
        <w:rPr>
          <w:bCs/>
          <w:sz w:val="16"/>
          <w:szCs w:val="16"/>
        </w:rPr>
        <w:t>9</w:t>
      </w:r>
      <w:r w:rsidRPr="00B45CEE">
        <w:rPr>
          <w:bCs/>
          <w:sz w:val="16"/>
          <w:szCs w:val="16"/>
        </w:rPr>
        <w:t>)</w:t>
      </w:r>
    </w:p>
    <w:p w:rsidR="004E2D22" w:rsidRPr="001705C7" w:rsidRDefault="003F4A96" w:rsidP="00B45CEE">
      <w:pPr>
        <w:pStyle w:val="BodyText"/>
        <w:widowControl w:val="0"/>
        <w:jc w:val="both"/>
      </w:pPr>
      <w:r w:rsidRPr="003F4A96">
        <w:rPr>
          <w:u w:val="single"/>
        </w:rPr>
        <w:t>Patients of the Non-Best Chance Network (non-BCN)</w:t>
      </w:r>
      <w:r w:rsidRPr="003F4A96">
        <w:t xml:space="preserve"> are individuals, who have been diagnosed by a non-BCN provider and found in need of treatment for breast cancer, cervical cancer, or pre-cancerous lesions (CIN</w:t>
      </w:r>
      <w:r>
        <w:t xml:space="preserve"> 2/3 or atypical hyperplasia</w:t>
      </w:r>
      <w:r w:rsidR="00E02D79" w:rsidRPr="00E02D79">
        <w:t>), including cancer that has originated in or metastasized to the breast or cervix</w:t>
      </w:r>
      <w:r>
        <w:t xml:space="preserve">. </w:t>
      </w:r>
      <w:r w:rsidR="004E2D22" w:rsidRPr="001705C7">
        <w:t>The following criteria must be met:</w:t>
      </w:r>
    </w:p>
    <w:p w:rsidR="004E2D22" w:rsidRPr="001705C7" w:rsidRDefault="004E2D22" w:rsidP="00B45CEE">
      <w:pPr>
        <w:pStyle w:val="BodyText"/>
        <w:widowControl w:val="0"/>
        <w:jc w:val="both"/>
      </w:pPr>
    </w:p>
    <w:p w:rsidR="005675BD" w:rsidRPr="001705C7" w:rsidRDefault="005675BD" w:rsidP="00B45CEE">
      <w:pPr>
        <w:widowControl w:val="0"/>
        <w:numPr>
          <w:ilvl w:val="0"/>
          <w:numId w:val="4"/>
        </w:numPr>
        <w:ind w:right="-720"/>
        <w:jc w:val="both"/>
        <w:rPr>
          <w:b w:val="0"/>
        </w:rPr>
      </w:pPr>
      <w:r w:rsidRPr="001705C7">
        <w:rPr>
          <w:b w:val="0"/>
        </w:rPr>
        <w:t>The patient must be under age 65;</w:t>
      </w:r>
    </w:p>
    <w:p w:rsidR="004E2D22" w:rsidRPr="001705C7" w:rsidRDefault="005675BD" w:rsidP="00B45CEE">
      <w:pPr>
        <w:widowControl w:val="0"/>
        <w:numPr>
          <w:ilvl w:val="0"/>
          <w:numId w:val="4"/>
        </w:numPr>
        <w:jc w:val="both"/>
        <w:rPr>
          <w:b w:val="0"/>
        </w:rPr>
      </w:pPr>
      <w:r w:rsidRPr="001705C7">
        <w:rPr>
          <w:b w:val="0"/>
        </w:rPr>
        <w:t>The patient m</w:t>
      </w:r>
      <w:r w:rsidR="004E2D22" w:rsidRPr="001705C7">
        <w:rPr>
          <w:b w:val="0"/>
        </w:rPr>
        <w:t xml:space="preserve">ust meet </w:t>
      </w:r>
      <w:r w:rsidR="00A8049B" w:rsidRPr="00A8049B">
        <w:rPr>
          <w:b w:val="0"/>
        </w:rPr>
        <w:t xml:space="preserve">South Carolina state residency, United States citizenship, and identity </w:t>
      </w:r>
      <w:r w:rsidR="004E2D22" w:rsidRPr="001705C7">
        <w:rPr>
          <w:b w:val="0"/>
        </w:rPr>
        <w:t>requirements (refer to MPPM 102.03 and 102.04.01 and 102.04.02)</w:t>
      </w:r>
      <w:r w:rsidR="009974C4" w:rsidRPr="001705C7">
        <w:rPr>
          <w:b w:val="0"/>
        </w:rPr>
        <w:t>;</w:t>
      </w:r>
    </w:p>
    <w:p w:rsidR="004E2D22" w:rsidRPr="001705C7" w:rsidRDefault="005675BD" w:rsidP="00B45CEE">
      <w:pPr>
        <w:widowControl w:val="0"/>
        <w:numPr>
          <w:ilvl w:val="0"/>
          <w:numId w:val="4"/>
        </w:numPr>
        <w:jc w:val="both"/>
        <w:rPr>
          <w:b w:val="0"/>
        </w:rPr>
      </w:pPr>
      <w:r w:rsidRPr="001705C7">
        <w:rPr>
          <w:b w:val="0"/>
        </w:rPr>
        <w:t>The patient m</w:t>
      </w:r>
      <w:r w:rsidR="00D34B99" w:rsidRPr="001705C7">
        <w:rPr>
          <w:b w:val="0"/>
        </w:rPr>
        <w:t>ust have</w:t>
      </w:r>
      <w:r w:rsidR="004E2D22" w:rsidRPr="001705C7">
        <w:rPr>
          <w:b w:val="0"/>
        </w:rPr>
        <w:t xml:space="preserve"> been screened for breast </w:t>
      </w:r>
      <w:r w:rsidR="00F23FB2" w:rsidRPr="001705C7">
        <w:rPr>
          <w:b w:val="0"/>
        </w:rPr>
        <w:t>cancer,</w:t>
      </w:r>
      <w:r w:rsidR="004E2D22" w:rsidRPr="001705C7">
        <w:rPr>
          <w:b w:val="0"/>
        </w:rPr>
        <w:t xml:space="preserve"> cervical cancer, diagnosed</w:t>
      </w:r>
      <w:r w:rsidR="009974C4" w:rsidRPr="001705C7">
        <w:rPr>
          <w:b w:val="0"/>
        </w:rPr>
        <w:t>,</w:t>
      </w:r>
      <w:r w:rsidR="004E2D22" w:rsidRPr="001705C7">
        <w:rPr>
          <w:b w:val="0"/>
        </w:rPr>
        <w:t xml:space="preserve"> and found in need of treatment for breast</w:t>
      </w:r>
      <w:r w:rsidR="00F23FB2" w:rsidRPr="001705C7">
        <w:rPr>
          <w:b w:val="0"/>
        </w:rPr>
        <w:t xml:space="preserve"> cancer,</w:t>
      </w:r>
      <w:r w:rsidR="004E2D22" w:rsidRPr="001705C7">
        <w:rPr>
          <w:b w:val="0"/>
        </w:rPr>
        <w:t xml:space="preserve"> cervical cancer</w:t>
      </w:r>
      <w:r w:rsidR="00F23FB2" w:rsidRPr="001705C7">
        <w:rPr>
          <w:b w:val="0"/>
        </w:rPr>
        <w:t>,</w:t>
      </w:r>
      <w:r w:rsidR="004E2D22" w:rsidRPr="001705C7">
        <w:rPr>
          <w:b w:val="0"/>
        </w:rPr>
        <w:t xml:space="preserve"> or pre-cancerous lesions (CIN 2/3 or atypical hyperplasia)</w:t>
      </w:r>
      <w:r w:rsidR="00E02D79" w:rsidRPr="00E02D79">
        <w:rPr>
          <w:b w:val="0"/>
        </w:rPr>
        <w:t>, including cancer that has originated in or metastasized to the breast or cervix</w:t>
      </w:r>
      <w:r w:rsidR="004E2D22" w:rsidRPr="001705C7">
        <w:rPr>
          <w:b w:val="0"/>
        </w:rPr>
        <w:t>;</w:t>
      </w:r>
    </w:p>
    <w:p w:rsidR="004E2D22" w:rsidRPr="001705C7" w:rsidRDefault="005675BD" w:rsidP="00B45CEE">
      <w:pPr>
        <w:widowControl w:val="0"/>
        <w:numPr>
          <w:ilvl w:val="0"/>
          <w:numId w:val="2"/>
        </w:numPr>
        <w:jc w:val="both"/>
        <w:rPr>
          <w:b w:val="0"/>
        </w:rPr>
      </w:pPr>
      <w:r w:rsidRPr="001705C7">
        <w:rPr>
          <w:b w:val="0"/>
        </w:rPr>
        <w:t>The patient m</w:t>
      </w:r>
      <w:r w:rsidR="00D34B99" w:rsidRPr="001705C7">
        <w:rPr>
          <w:b w:val="0"/>
        </w:rPr>
        <w:t>ust not</w:t>
      </w:r>
      <w:r w:rsidR="004E2D22" w:rsidRPr="001705C7">
        <w:rPr>
          <w:b w:val="0"/>
        </w:rPr>
        <w:t xml:space="preserve"> have other insurance coverage that would cover treatment for breast</w:t>
      </w:r>
      <w:r w:rsidR="00F23FB2" w:rsidRPr="001705C7">
        <w:rPr>
          <w:b w:val="0"/>
        </w:rPr>
        <w:t xml:space="preserve"> cancer,</w:t>
      </w:r>
      <w:r w:rsidR="004E2D22" w:rsidRPr="001705C7">
        <w:rPr>
          <w:b w:val="0"/>
        </w:rPr>
        <w:t xml:space="preserve"> cervical cancer</w:t>
      </w:r>
      <w:r w:rsidR="00F23FB2" w:rsidRPr="001705C7">
        <w:rPr>
          <w:b w:val="0"/>
        </w:rPr>
        <w:t>,</w:t>
      </w:r>
      <w:r w:rsidR="004E2D22" w:rsidRPr="001705C7">
        <w:rPr>
          <w:b w:val="0"/>
        </w:rPr>
        <w:t xml:space="preserve"> or pre-cancerous lesions (CIN 2/3 or atypical hyperplasia),</w:t>
      </w:r>
      <w:r w:rsidR="0067738B" w:rsidRPr="001705C7">
        <w:rPr>
          <w:b w:val="0"/>
        </w:rPr>
        <w:t xml:space="preserve"> including Medicare Part A or B</w:t>
      </w:r>
      <w:r w:rsidR="009974C4" w:rsidRPr="001705C7">
        <w:rPr>
          <w:b w:val="0"/>
        </w:rPr>
        <w:t>;</w:t>
      </w:r>
    </w:p>
    <w:p w:rsidR="0067738B" w:rsidRPr="001705C7" w:rsidRDefault="005675BD" w:rsidP="00B45CEE">
      <w:pPr>
        <w:widowControl w:val="0"/>
        <w:numPr>
          <w:ilvl w:val="1"/>
          <w:numId w:val="2"/>
        </w:numPr>
        <w:tabs>
          <w:tab w:val="clear" w:pos="1440"/>
        </w:tabs>
        <w:ind w:left="1080"/>
        <w:jc w:val="both"/>
        <w:rPr>
          <w:b w:val="0"/>
          <w:bCs w:val="0"/>
        </w:rPr>
      </w:pPr>
      <w:r w:rsidRPr="001705C7">
        <w:rPr>
          <w:b w:val="0"/>
        </w:rPr>
        <w:t xml:space="preserve">Note: It must be determined if an applicant has creditable health coverage.  </w:t>
      </w:r>
      <w:r w:rsidR="0067738B" w:rsidRPr="001705C7">
        <w:rPr>
          <w:b w:val="0"/>
        </w:rPr>
        <w:t>Eligibility workers must check the</w:t>
      </w:r>
      <w:r w:rsidR="009974C4" w:rsidRPr="001705C7">
        <w:rPr>
          <w:b w:val="0"/>
        </w:rPr>
        <w:t xml:space="preserve"> </w:t>
      </w:r>
      <w:hyperlink r:id="rId14" w:history="1">
        <w:r w:rsidR="009974C4" w:rsidRPr="001705C7">
          <w:rPr>
            <w:rStyle w:val="Hyperlink"/>
            <w:b w:val="0"/>
          </w:rPr>
          <w:t>DHHS Form 3400</w:t>
        </w:r>
      </w:hyperlink>
      <w:r w:rsidR="009974C4" w:rsidRPr="001705C7">
        <w:rPr>
          <w:b w:val="0"/>
        </w:rPr>
        <w:t>, Healthy Connections Application for Medicaid and/or Affordable Health Coverage</w:t>
      </w:r>
      <w:r w:rsidRPr="001705C7">
        <w:rPr>
          <w:b w:val="0"/>
        </w:rPr>
        <w:t>,</w:t>
      </w:r>
      <w:r w:rsidR="0067738B" w:rsidRPr="001705C7">
        <w:rPr>
          <w:b w:val="0"/>
        </w:rPr>
        <w:t xml:space="preserve"> appropriate review forms</w:t>
      </w:r>
      <w:r w:rsidRPr="001705C7">
        <w:rPr>
          <w:b w:val="0"/>
        </w:rPr>
        <w:t>,</w:t>
      </w:r>
      <w:r w:rsidR="0067738B" w:rsidRPr="001705C7">
        <w:rPr>
          <w:b w:val="0"/>
        </w:rPr>
        <w:t xml:space="preserve"> and the TPL Policy Inquiry on MMIS for any indication of creditable health coverage at approval, review</w:t>
      </w:r>
      <w:r w:rsidR="009974C4" w:rsidRPr="001705C7">
        <w:rPr>
          <w:b w:val="0"/>
        </w:rPr>
        <w:t>,</w:t>
      </w:r>
      <w:r w:rsidR="0067738B" w:rsidRPr="001705C7">
        <w:rPr>
          <w:b w:val="0"/>
        </w:rPr>
        <w:t xml:space="preserve"> or in an ex</w:t>
      </w:r>
      <w:r w:rsidR="009974C4" w:rsidRPr="001705C7">
        <w:rPr>
          <w:b w:val="0"/>
        </w:rPr>
        <w:t xml:space="preserve"> </w:t>
      </w:r>
      <w:r w:rsidR="0067738B" w:rsidRPr="001705C7">
        <w:rPr>
          <w:b w:val="0"/>
        </w:rPr>
        <w:t>parte determination.</w:t>
      </w:r>
    </w:p>
    <w:p w:rsidR="005675BD" w:rsidRPr="001705C7" w:rsidRDefault="005675BD" w:rsidP="00B45CEE">
      <w:pPr>
        <w:widowControl w:val="0"/>
        <w:numPr>
          <w:ilvl w:val="0"/>
          <w:numId w:val="2"/>
        </w:numPr>
        <w:ind w:right="-720"/>
        <w:jc w:val="both"/>
        <w:rPr>
          <w:b w:val="0"/>
        </w:rPr>
      </w:pPr>
      <w:r w:rsidRPr="001705C7">
        <w:rPr>
          <w:b w:val="0"/>
        </w:rPr>
        <w:t xml:space="preserve">Must not be eligible for another </w:t>
      </w:r>
      <w:r w:rsidR="00A8049B">
        <w:rPr>
          <w:b w:val="0"/>
        </w:rPr>
        <w:t xml:space="preserve">full coverage </w:t>
      </w:r>
      <w:r w:rsidRPr="001705C7">
        <w:rPr>
          <w:b w:val="0"/>
        </w:rPr>
        <w:t>Medicaid eligibility group.</w:t>
      </w:r>
    </w:p>
    <w:p w:rsidR="004E2D22" w:rsidRPr="001705C7" w:rsidRDefault="00D34B99" w:rsidP="00B45CEE">
      <w:pPr>
        <w:widowControl w:val="0"/>
        <w:numPr>
          <w:ilvl w:val="0"/>
          <w:numId w:val="2"/>
        </w:numPr>
        <w:jc w:val="both"/>
        <w:rPr>
          <w:b w:val="0"/>
        </w:rPr>
      </w:pPr>
      <w:r w:rsidRPr="001705C7">
        <w:rPr>
          <w:b w:val="0"/>
        </w:rPr>
        <w:t>F</w:t>
      </w:r>
      <w:r w:rsidR="004E2D22" w:rsidRPr="001705C7">
        <w:rPr>
          <w:b w:val="0"/>
        </w:rPr>
        <w:t xml:space="preserve">amily income is at or below 200% of the Federal Poverty Level </w:t>
      </w:r>
      <w:r w:rsidR="00A8049B">
        <w:rPr>
          <w:b w:val="0"/>
        </w:rPr>
        <w:t xml:space="preserve">(FPL) </w:t>
      </w:r>
      <w:r w:rsidR="004E2D22" w:rsidRPr="001705C7">
        <w:rPr>
          <w:b w:val="0"/>
        </w:rPr>
        <w:t>(Refer to MPPM 103.08</w:t>
      </w:r>
      <w:r w:rsidR="009974C4" w:rsidRPr="001705C7">
        <w:rPr>
          <w:b w:val="0"/>
        </w:rPr>
        <w:t>)</w:t>
      </w:r>
    </w:p>
    <w:p w:rsidR="004E2D22" w:rsidRDefault="004E2D22" w:rsidP="00B45CEE">
      <w:pPr>
        <w:widowControl w:val="0"/>
        <w:jc w:val="both"/>
        <w:rPr>
          <w:b w:val="0"/>
        </w:rPr>
      </w:pPr>
    </w:p>
    <w:p w:rsidR="00A8049B" w:rsidRPr="00A8049B" w:rsidRDefault="00A8049B" w:rsidP="00B45CEE">
      <w:pPr>
        <w:widowControl w:val="0"/>
        <w:ind w:left="720" w:hanging="720"/>
        <w:jc w:val="both"/>
        <w:rPr>
          <w:b w:val="0"/>
        </w:rPr>
      </w:pPr>
      <w:r w:rsidRPr="00A8049B">
        <w:rPr>
          <w:b w:val="0"/>
          <w:u w:val="single"/>
        </w:rPr>
        <w:t>Note</w:t>
      </w:r>
      <w:r>
        <w:rPr>
          <w:b w:val="0"/>
        </w:rPr>
        <w:t>:</w:t>
      </w:r>
      <w:r>
        <w:rPr>
          <w:b w:val="0"/>
        </w:rPr>
        <w:tab/>
      </w:r>
      <w:r w:rsidRPr="00A8049B">
        <w:rPr>
          <w:b w:val="0"/>
        </w:rPr>
        <w:t xml:space="preserve">Eligibility workers must check the Healthy Connections Application, </w:t>
      </w:r>
      <w:hyperlink r:id="rId15" w:history="1">
        <w:r w:rsidRPr="00A8049B">
          <w:rPr>
            <w:rStyle w:val="Hyperlink"/>
            <w:b w:val="0"/>
          </w:rPr>
          <w:t>DHHS Form 3400</w:t>
        </w:r>
      </w:hyperlink>
      <w:r w:rsidRPr="00A8049B">
        <w:rPr>
          <w:b w:val="0"/>
        </w:rPr>
        <w:t>, appropriate review forms, and the TPL Policy Inquiry on MMIS for any indication of creditable health coverage at approval, review, and in an ex parte determination.</w:t>
      </w:r>
    </w:p>
    <w:p w:rsidR="00A8049B" w:rsidRPr="001705C7" w:rsidRDefault="00A8049B" w:rsidP="00B45CEE">
      <w:pPr>
        <w:widowControl w:val="0"/>
        <w:jc w:val="both"/>
        <w:rPr>
          <w:b w:val="0"/>
        </w:rPr>
      </w:pPr>
    </w:p>
    <w:p w:rsidR="00823C38" w:rsidRDefault="00823C38" w:rsidP="00B45CEE">
      <w:pPr>
        <w:pStyle w:val="BodyText"/>
        <w:widowControl w:val="0"/>
        <w:jc w:val="both"/>
      </w:pPr>
      <w:r w:rsidRPr="003F4A96">
        <w:rPr>
          <w:u w:val="single"/>
        </w:rPr>
        <w:t>Patients of the Best Chance Network (BCN)</w:t>
      </w:r>
      <w:r w:rsidRPr="001705C7">
        <w:t xml:space="preserve"> are individuals diagnosed by a BCN provider and found in need of treatment. They must meet all of the criteria listed above as well as the two additional criteria below:</w:t>
      </w:r>
    </w:p>
    <w:p w:rsidR="003F4A96" w:rsidRPr="001705C7" w:rsidRDefault="003F4A96" w:rsidP="00B45CEE">
      <w:pPr>
        <w:pStyle w:val="BodyText"/>
        <w:widowControl w:val="0"/>
        <w:jc w:val="both"/>
      </w:pPr>
    </w:p>
    <w:p w:rsidR="003F4A96" w:rsidRDefault="003F4A96" w:rsidP="00B45CEE">
      <w:pPr>
        <w:widowControl w:val="0"/>
        <w:numPr>
          <w:ilvl w:val="0"/>
          <w:numId w:val="1"/>
        </w:numPr>
        <w:jc w:val="both"/>
        <w:rPr>
          <w:b w:val="0"/>
        </w:rPr>
      </w:pPr>
      <w:r w:rsidRPr="001705C7">
        <w:rPr>
          <w:b w:val="0"/>
        </w:rPr>
        <w:t>The patient must be aged 4</w:t>
      </w:r>
      <w:r>
        <w:rPr>
          <w:b w:val="0"/>
        </w:rPr>
        <w:t>0</w:t>
      </w:r>
      <w:r w:rsidRPr="001705C7">
        <w:rPr>
          <w:b w:val="0"/>
        </w:rPr>
        <w:t xml:space="preserve"> – 64</w:t>
      </w:r>
      <w:r>
        <w:rPr>
          <w:b w:val="0"/>
        </w:rPr>
        <w:t>; and</w:t>
      </w:r>
    </w:p>
    <w:p w:rsidR="00823C38" w:rsidRPr="003F4A96" w:rsidRDefault="00823C38" w:rsidP="00B45CEE">
      <w:pPr>
        <w:widowControl w:val="0"/>
        <w:numPr>
          <w:ilvl w:val="0"/>
          <w:numId w:val="1"/>
        </w:numPr>
        <w:jc w:val="both"/>
        <w:rPr>
          <w:b w:val="0"/>
        </w:rPr>
      </w:pPr>
      <w:r w:rsidRPr="003F4A96">
        <w:rPr>
          <w:b w:val="0"/>
        </w:rPr>
        <w:t>The patient must have been screened, diagnosed, and found in need of treatment for breast cancer, cervical cancer, or pre-cancerous lesions (CIN 2/3 or atypical hyperplasia</w:t>
      </w:r>
      <w:r w:rsidR="00E02D79" w:rsidRPr="00E02D79">
        <w:rPr>
          <w:b w:val="0"/>
        </w:rPr>
        <w:t>), including cancer that has originated in or metastasized to the breast or cervix</w:t>
      </w:r>
      <w:r w:rsidR="00E02D79">
        <w:rPr>
          <w:b w:val="0"/>
        </w:rPr>
        <w:t>,</w:t>
      </w:r>
      <w:r w:rsidRPr="003F4A96">
        <w:rPr>
          <w:b w:val="0"/>
        </w:rPr>
        <w:t xml:space="preserve"> under the B</w:t>
      </w:r>
      <w:r w:rsidR="003F4A96">
        <w:rPr>
          <w:b w:val="0"/>
        </w:rPr>
        <w:t>est Chance Network program</w:t>
      </w:r>
      <w:r w:rsidRPr="003F4A96">
        <w:rPr>
          <w:b w:val="0"/>
        </w:rPr>
        <w:t>.</w:t>
      </w:r>
    </w:p>
    <w:p w:rsidR="00C62F7B" w:rsidRDefault="00C62F7B" w:rsidP="00B45CEE">
      <w:pPr>
        <w:pStyle w:val="DefaultText"/>
        <w:widowControl w:val="0"/>
        <w:overflowPunct/>
        <w:autoSpaceDE/>
        <w:autoSpaceDN/>
        <w:adjustRightInd/>
        <w:textAlignment w:val="auto"/>
        <w:rPr>
          <w:rFonts w:ascii="Arial" w:hAnsi="Arial" w:cs="Arial"/>
          <w:bCs/>
          <w:szCs w:val="24"/>
        </w:rPr>
      </w:pPr>
    </w:p>
    <w:p w:rsidR="00485BD2" w:rsidRPr="00485BD2" w:rsidRDefault="00485BD2" w:rsidP="00B45CEE">
      <w:pPr>
        <w:pStyle w:val="DefaultText"/>
        <w:widowControl w:val="0"/>
        <w:ind w:left="720" w:hanging="720"/>
        <w:jc w:val="both"/>
        <w:rPr>
          <w:rFonts w:ascii="Arial" w:hAnsi="Arial" w:cs="Arial"/>
        </w:rPr>
      </w:pPr>
      <w:r w:rsidRPr="00485BD2">
        <w:rPr>
          <w:rFonts w:ascii="Arial" w:hAnsi="Arial" w:cs="Arial"/>
          <w:u w:val="single"/>
        </w:rPr>
        <w:t>Note</w:t>
      </w:r>
      <w:r w:rsidRPr="00485BD2">
        <w:rPr>
          <w:rFonts w:ascii="Arial" w:hAnsi="Arial" w:cs="Arial"/>
        </w:rPr>
        <w:t>:</w:t>
      </w:r>
      <w:r w:rsidRPr="00485BD2">
        <w:rPr>
          <w:rFonts w:ascii="Arial" w:hAnsi="Arial" w:cs="Arial"/>
        </w:rPr>
        <w:tab/>
        <w:t xml:space="preserve">An applicant is not eligible for BCCP coverage if otherwise covered under creditable coverage. In this case, creditable coverage is an insurance policy that provides coverage for the treatment of breast or cervical cancer. Eligibility workers must check the </w:t>
      </w:r>
      <w:hyperlink r:id="rId16" w:history="1">
        <w:r w:rsidRPr="00485BD2">
          <w:rPr>
            <w:rStyle w:val="Hyperlink"/>
            <w:rFonts w:ascii="Arial" w:hAnsi="Arial" w:cs="Arial"/>
          </w:rPr>
          <w:t>DHHS Form 3400</w:t>
        </w:r>
      </w:hyperlink>
      <w:r w:rsidRPr="00485BD2">
        <w:rPr>
          <w:rFonts w:ascii="Arial" w:hAnsi="Arial" w:cs="Arial"/>
        </w:rPr>
        <w:t>, Healthy Connections Application</w:t>
      </w:r>
      <w:r>
        <w:rPr>
          <w:rFonts w:ascii="Arial" w:hAnsi="Arial" w:cs="Arial"/>
        </w:rPr>
        <w:t>,</w:t>
      </w:r>
      <w:r w:rsidRPr="00485BD2">
        <w:rPr>
          <w:rFonts w:ascii="Arial" w:hAnsi="Arial" w:cs="Arial"/>
        </w:rPr>
        <w:t xml:space="preserve"> appropriate review forms, and the TPL Policy Inquiry on MMIS for any indication of creditable health coverage at approval, review, and in an ex parte determination. If an applicant has creditable coverage but has exhausted the lifetime limits on all benefits under the plan, the applicant is not considered to have creditable coverage and could be Medicaid eligible under the BCCP program. Once coverage is reinstated, the eligibility worker should verify the reinstatement of coverage and close the case.</w:t>
      </w:r>
    </w:p>
    <w:p w:rsidR="00485BD2" w:rsidRPr="001705C7" w:rsidRDefault="00485BD2" w:rsidP="00B45CEE">
      <w:pPr>
        <w:pStyle w:val="DefaultText"/>
        <w:widowControl w:val="0"/>
        <w:overflowPunct/>
        <w:autoSpaceDE/>
        <w:autoSpaceDN/>
        <w:adjustRightInd/>
        <w:textAlignment w:val="auto"/>
        <w:rPr>
          <w:rFonts w:ascii="Arial" w:hAnsi="Arial" w:cs="Arial"/>
          <w:bCs/>
          <w:szCs w:val="24"/>
        </w:rPr>
      </w:pPr>
    </w:p>
    <w:p w:rsidR="00BA227E" w:rsidRPr="001705C7" w:rsidRDefault="004E2D22" w:rsidP="00B45CEE">
      <w:pPr>
        <w:pStyle w:val="ManualHeading2"/>
        <w:keepNext w:val="0"/>
        <w:tabs>
          <w:tab w:val="right" w:pos="9360"/>
        </w:tabs>
        <w:rPr>
          <w:bCs/>
        </w:rPr>
      </w:pPr>
      <w:bookmarkStart w:id="11" w:name="_Toc165693337"/>
      <w:bookmarkStart w:id="12" w:name="_Toc415824618"/>
      <w:r w:rsidRPr="001705C7">
        <w:rPr>
          <w:bCs/>
        </w:rPr>
        <w:t>501.03.0</w:t>
      </w:r>
      <w:r w:rsidR="007A7F8C">
        <w:rPr>
          <w:bCs/>
        </w:rPr>
        <w:t>2</w:t>
      </w:r>
      <w:r w:rsidRPr="001705C7">
        <w:rPr>
          <w:bCs/>
        </w:rPr>
        <w:tab/>
        <w:t>Special Situations</w:t>
      </w:r>
      <w:bookmarkEnd w:id="11"/>
      <w:bookmarkEnd w:id="12"/>
    </w:p>
    <w:p w:rsidR="00BA227E" w:rsidRPr="00485BD2" w:rsidRDefault="00485BD2" w:rsidP="00B45CEE">
      <w:pPr>
        <w:widowControl w:val="0"/>
        <w:jc w:val="right"/>
        <w:rPr>
          <w:b w:val="0"/>
          <w:bCs w:val="0"/>
          <w:sz w:val="16"/>
        </w:rPr>
      </w:pPr>
      <w:r w:rsidRPr="00485BD2">
        <w:rPr>
          <w:b w:val="0"/>
          <w:bCs w:val="0"/>
          <w:sz w:val="16"/>
        </w:rPr>
        <w:t>(Rev. 04/01/15)</w:t>
      </w:r>
    </w:p>
    <w:p w:rsidR="00485BD2" w:rsidRPr="00485BD2" w:rsidRDefault="00485BD2" w:rsidP="00B45CEE">
      <w:pPr>
        <w:pStyle w:val="BodyText"/>
        <w:widowControl w:val="0"/>
        <w:numPr>
          <w:ilvl w:val="0"/>
          <w:numId w:val="5"/>
        </w:numPr>
        <w:jc w:val="both"/>
        <w:rPr>
          <w:b/>
          <w:bCs/>
          <w:u w:val="single"/>
        </w:rPr>
      </w:pPr>
      <w:r w:rsidRPr="00485BD2">
        <w:rPr>
          <w:b/>
          <w:bCs/>
          <w:u w:val="single"/>
        </w:rPr>
        <w:t>Other Treatment</w:t>
      </w:r>
    </w:p>
    <w:p w:rsidR="003E7245" w:rsidRPr="001705C7" w:rsidRDefault="00485BD2" w:rsidP="00B45CEE">
      <w:pPr>
        <w:pStyle w:val="BodyText"/>
        <w:widowControl w:val="0"/>
        <w:ind w:left="720"/>
        <w:jc w:val="both"/>
        <w:rPr>
          <w:bCs/>
        </w:rPr>
      </w:pPr>
      <w:r>
        <w:rPr>
          <w:bCs/>
        </w:rPr>
        <w:t>F</w:t>
      </w:r>
      <w:r w:rsidR="00BA227E" w:rsidRPr="001705C7">
        <w:rPr>
          <w:bCs/>
        </w:rPr>
        <w:t xml:space="preserve">irst time </w:t>
      </w:r>
      <w:r>
        <w:rPr>
          <w:bCs/>
        </w:rPr>
        <w:t xml:space="preserve">applicants </w:t>
      </w:r>
      <w:r w:rsidR="00BA227E" w:rsidRPr="001705C7">
        <w:rPr>
          <w:bCs/>
        </w:rPr>
        <w:t>who meet the eligibility</w:t>
      </w:r>
      <w:r w:rsidR="003E7245" w:rsidRPr="001705C7">
        <w:rPr>
          <w:bCs/>
        </w:rPr>
        <w:t xml:space="preserve"> criteria</w:t>
      </w:r>
      <w:r w:rsidR="00BA227E" w:rsidRPr="001705C7">
        <w:rPr>
          <w:bCs/>
        </w:rPr>
        <w:t xml:space="preserve">, have completed treatment of breast or cervical cancer, </w:t>
      </w:r>
      <w:r w:rsidR="003E7245" w:rsidRPr="001705C7">
        <w:rPr>
          <w:bCs/>
        </w:rPr>
        <w:t xml:space="preserve">and </w:t>
      </w:r>
      <w:r w:rsidR="00BA227E" w:rsidRPr="001705C7">
        <w:rPr>
          <w:bCs/>
        </w:rPr>
        <w:t xml:space="preserve">need or </w:t>
      </w:r>
      <w:r>
        <w:rPr>
          <w:bCs/>
        </w:rPr>
        <w:t>are</w:t>
      </w:r>
      <w:r w:rsidR="00BA227E" w:rsidRPr="001705C7">
        <w:rPr>
          <w:bCs/>
        </w:rPr>
        <w:t xml:space="preserve"> receiving treatment for metastasis to other organs secondary to breast or cervical cancer may be approved. </w:t>
      </w:r>
    </w:p>
    <w:p w:rsidR="00485BD2" w:rsidRPr="00485BD2" w:rsidRDefault="00485BD2" w:rsidP="00B45CEE">
      <w:pPr>
        <w:pStyle w:val="BodyText"/>
        <w:widowControl w:val="0"/>
        <w:numPr>
          <w:ilvl w:val="0"/>
          <w:numId w:val="5"/>
        </w:numPr>
        <w:jc w:val="both"/>
        <w:rPr>
          <w:b/>
          <w:bCs/>
        </w:rPr>
      </w:pPr>
      <w:r w:rsidRPr="00485BD2">
        <w:rPr>
          <w:b/>
          <w:bCs/>
          <w:u w:val="single"/>
        </w:rPr>
        <w:t>New South Carolina Residents</w:t>
      </w:r>
    </w:p>
    <w:p w:rsidR="00BA227E" w:rsidRDefault="00E63373" w:rsidP="00B45CEE">
      <w:pPr>
        <w:pStyle w:val="BodyText"/>
        <w:widowControl w:val="0"/>
        <w:numPr>
          <w:ilvl w:val="1"/>
          <w:numId w:val="5"/>
        </w:numPr>
        <w:ind w:left="1080"/>
        <w:jc w:val="both"/>
        <w:rPr>
          <w:bCs/>
        </w:rPr>
      </w:pPr>
      <w:r w:rsidRPr="001705C7">
        <w:rPr>
          <w:bCs/>
        </w:rPr>
        <w:t>A</w:t>
      </w:r>
      <w:r w:rsidR="00BA227E" w:rsidRPr="001705C7">
        <w:rPr>
          <w:bCs/>
        </w:rPr>
        <w:t>n applicant qualified for a program under the BCCPTA in another state and found to be in need of treatment for breast and/or cervical cancer conditions will be considered for eligibility in South Carolina</w:t>
      </w:r>
      <w:r w:rsidR="003E7245" w:rsidRPr="001705C7">
        <w:rPr>
          <w:bCs/>
        </w:rPr>
        <w:t>’s</w:t>
      </w:r>
      <w:r w:rsidR="00BA227E" w:rsidRPr="001705C7">
        <w:rPr>
          <w:bCs/>
        </w:rPr>
        <w:t xml:space="preserve"> BCCP.</w:t>
      </w:r>
      <w:r w:rsidR="00485BD2">
        <w:rPr>
          <w:bCs/>
        </w:rPr>
        <w:t xml:space="preserve"> </w:t>
      </w:r>
      <w:r w:rsidR="00485BD2" w:rsidRPr="00485BD2">
        <w:rPr>
          <w:bCs/>
        </w:rPr>
        <w:t>If an applicant was screened in a different state, the applicant does not need to be screened again in South Carolina.</w:t>
      </w:r>
    </w:p>
    <w:p w:rsidR="00485BD2" w:rsidRPr="00485BD2" w:rsidRDefault="00485BD2" w:rsidP="00B45CEE">
      <w:pPr>
        <w:pStyle w:val="ListParagraph"/>
        <w:widowControl w:val="0"/>
        <w:numPr>
          <w:ilvl w:val="1"/>
          <w:numId w:val="5"/>
        </w:numPr>
        <w:ind w:left="1080"/>
        <w:rPr>
          <w:b w:val="0"/>
        </w:rPr>
      </w:pPr>
      <w:r w:rsidRPr="00485BD2">
        <w:rPr>
          <w:b w:val="0"/>
        </w:rPr>
        <w:t>Workers should follow the steps below to determine eligibility for a new state resident:</w:t>
      </w:r>
    </w:p>
    <w:p w:rsidR="00485BD2" w:rsidRPr="00485BD2" w:rsidRDefault="00485BD2" w:rsidP="00B45CEE">
      <w:pPr>
        <w:pStyle w:val="BodyText"/>
        <w:widowControl w:val="0"/>
        <w:numPr>
          <w:ilvl w:val="2"/>
          <w:numId w:val="5"/>
        </w:numPr>
        <w:ind w:left="1440"/>
        <w:contextualSpacing/>
        <w:jc w:val="both"/>
        <w:rPr>
          <w:bCs/>
        </w:rPr>
      </w:pPr>
      <w:r w:rsidRPr="00485BD2">
        <w:rPr>
          <w:bCs/>
        </w:rPr>
        <w:t>After an applicant submits Form 3400, ask for documentation from the applicant’s initial consultation with a provider in South Carolina.</w:t>
      </w:r>
    </w:p>
    <w:p w:rsidR="00485BD2" w:rsidRPr="00485BD2" w:rsidRDefault="00485BD2" w:rsidP="00B45CEE">
      <w:pPr>
        <w:pStyle w:val="BodyText"/>
        <w:widowControl w:val="0"/>
        <w:ind w:left="1440"/>
        <w:contextualSpacing/>
        <w:jc w:val="both"/>
        <w:rPr>
          <w:bCs/>
        </w:rPr>
      </w:pPr>
      <w:r w:rsidRPr="00485BD2">
        <w:rPr>
          <w:bCs/>
        </w:rPr>
        <w:t>Ask the applicant for a copy of records, detailing the applicant’s former coverage.</w:t>
      </w:r>
    </w:p>
    <w:p w:rsidR="00485BD2" w:rsidRPr="00485BD2" w:rsidRDefault="00485BD2" w:rsidP="00B45CEE">
      <w:pPr>
        <w:pStyle w:val="BodyText"/>
        <w:widowControl w:val="0"/>
        <w:numPr>
          <w:ilvl w:val="2"/>
          <w:numId w:val="5"/>
        </w:numPr>
        <w:ind w:left="1440"/>
        <w:contextualSpacing/>
        <w:jc w:val="both"/>
        <w:rPr>
          <w:bCs/>
        </w:rPr>
      </w:pPr>
      <w:r w:rsidRPr="00485BD2">
        <w:rPr>
          <w:bCs/>
        </w:rPr>
        <w:t>Send Form 913-A to the applicant to complete with the provider, and send the applicant the Medicaid Eligibility Checklist, Form 1233, if more information is needed.</w:t>
      </w:r>
    </w:p>
    <w:p w:rsidR="00485BD2" w:rsidRPr="00485BD2" w:rsidRDefault="00485BD2" w:rsidP="00B45CEE">
      <w:pPr>
        <w:pStyle w:val="BodyText"/>
        <w:widowControl w:val="0"/>
        <w:numPr>
          <w:ilvl w:val="2"/>
          <w:numId w:val="5"/>
        </w:numPr>
        <w:ind w:left="1440"/>
        <w:contextualSpacing/>
        <w:jc w:val="both"/>
        <w:rPr>
          <w:bCs/>
        </w:rPr>
      </w:pPr>
      <w:r w:rsidRPr="00485BD2">
        <w:rPr>
          <w:bCs/>
        </w:rPr>
        <w:t xml:space="preserve">If copies of the records are received, do not deny BCCP coverage while awaiting the return of Form 913-A or any requested information. If the applicant does not return Form 913-A or any requested information, send the applicant a 10-day notice to close the case. Once all the relevant information has been received, continue eligibility. </w:t>
      </w:r>
    </w:p>
    <w:p w:rsidR="00485BD2" w:rsidRPr="00485BD2" w:rsidRDefault="00485BD2" w:rsidP="00B45CEE">
      <w:pPr>
        <w:widowControl w:val="0"/>
        <w:numPr>
          <w:ilvl w:val="0"/>
          <w:numId w:val="5"/>
        </w:numPr>
        <w:jc w:val="both"/>
      </w:pPr>
      <w:r w:rsidRPr="00485BD2">
        <w:rPr>
          <w:u w:val="single"/>
        </w:rPr>
        <w:t>Non-Citizen Applicants</w:t>
      </w:r>
    </w:p>
    <w:p w:rsidR="003E7245" w:rsidRPr="00C62F7B" w:rsidRDefault="003E7245" w:rsidP="00B45CEE">
      <w:pPr>
        <w:widowControl w:val="0"/>
        <w:ind w:left="720"/>
        <w:jc w:val="both"/>
        <w:rPr>
          <w:b w:val="0"/>
        </w:rPr>
      </w:pPr>
      <w:r w:rsidRPr="001705C7">
        <w:rPr>
          <w:b w:val="0"/>
        </w:rPr>
        <w:t>Non-citizen applicants, who are residents of South Carolina, found in need of treatment for breast cancer, cervical cancer, or pre-cancerous lesions (CIN 2/3 or atypical hyperplasia) may be eligible for BCCP. If the applicant is approved, coverage will continue as long as eligibility criteria are met and the beneficiary is receiving treatment.</w:t>
      </w:r>
    </w:p>
    <w:p w:rsidR="003F5F70" w:rsidRPr="001705C7" w:rsidRDefault="003F5F70" w:rsidP="00B45CEE">
      <w:pPr>
        <w:widowControl w:val="0"/>
        <w:jc w:val="both"/>
        <w:rPr>
          <w:b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C13894" w:rsidRPr="001705C7" w:rsidTr="0023350A">
        <w:tc>
          <w:tcPr>
            <w:tcW w:w="5000" w:type="pct"/>
          </w:tcPr>
          <w:p w:rsidR="00C13894" w:rsidRPr="001705C7" w:rsidRDefault="00C13894" w:rsidP="00B45CEE">
            <w:pPr>
              <w:widowControl w:val="0"/>
              <w:jc w:val="center"/>
            </w:pPr>
            <w:r w:rsidRPr="001705C7">
              <w:t>Procedure for Approving Non-Citizen Individuals for Emergency Services in PCAT 71</w:t>
            </w:r>
          </w:p>
        </w:tc>
      </w:tr>
      <w:tr w:rsidR="00C13894" w:rsidRPr="001705C7" w:rsidTr="0023350A">
        <w:tc>
          <w:tcPr>
            <w:tcW w:w="5000" w:type="pct"/>
          </w:tcPr>
          <w:p w:rsidR="00C13894" w:rsidRPr="001705C7" w:rsidRDefault="00C13894" w:rsidP="00B45CEE">
            <w:pPr>
              <w:widowControl w:val="0"/>
            </w:pPr>
            <w:r w:rsidRPr="001705C7">
              <w:t>MEDS Procedure:</w:t>
            </w:r>
          </w:p>
        </w:tc>
      </w:tr>
      <w:tr w:rsidR="003F5F70" w:rsidRPr="001705C7" w:rsidTr="0023350A">
        <w:tc>
          <w:tcPr>
            <w:tcW w:w="5000" w:type="pct"/>
          </w:tcPr>
          <w:p w:rsidR="003F5F70" w:rsidRPr="001705C7" w:rsidRDefault="003F5F70" w:rsidP="00B45CEE">
            <w:pPr>
              <w:widowControl w:val="0"/>
            </w:pPr>
          </w:p>
          <w:p w:rsidR="003F5F70" w:rsidRPr="001705C7" w:rsidRDefault="003F5F70" w:rsidP="00B45CEE">
            <w:pPr>
              <w:widowControl w:val="0"/>
            </w:pPr>
            <w:r w:rsidRPr="001705C7">
              <w:t xml:space="preserve">MEDS Procedure for Approving Non-Citizen </w:t>
            </w:r>
            <w:r w:rsidR="00E63373" w:rsidRPr="001705C7">
              <w:t>Individuals</w:t>
            </w:r>
            <w:r w:rsidRPr="001705C7">
              <w:t xml:space="preserve"> for Emergency Services in PCAT 71:</w:t>
            </w:r>
          </w:p>
          <w:p w:rsidR="003F5F70" w:rsidRPr="001705C7" w:rsidRDefault="003F5F70" w:rsidP="00B45CEE">
            <w:pPr>
              <w:widowControl w:val="0"/>
            </w:pPr>
          </w:p>
          <w:p w:rsidR="003F5F70" w:rsidRPr="001705C7" w:rsidRDefault="003F5F70" w:rsidP="00B45CEE">
            <w:pPr>
              <w:widowControl w:val="0"/>
              <w:rPr>
                <w:b w:val="0"/>
              </w:rPr>
            </w:pPr>
            <w:r w:rsidRPr="001705C7">
              <w:rPr>
                <w:b w:val="0"/>
              </w:rPr>
              <w:t>On HMS06- Set the US Citizenship Indicator to “N”</w:t>
            </w:r>
          </w:p>
          <w:p w:rsidR="003F5F70" w:rsidRPr="001705C7" w:rsidRDefault="003F5F70" w:rsidP="00B45CEE">
            <w:pPr>
              <w:widowControl w:val="0"/>
              <w:rPr>
                <w:b w:val="0"/>
              </w:rPr>
            </w:pPr>
            <w:r w:rsidRPr="001705C7">
              <w:rPr>
                <w:b w:val="0"/>
              </w:rPr>
              <w:t>On ELD00- Set the Citizenship Pass/Fail to “Fail”</w:t>
            </w:r>
          </w:p>
          <w:p w:rsidR="003F5F70" w:rsidRPr="001705C7" w:rsidRDefault="003F5F70" w:rsidP="00B45CEE">
            <w:pPr>
              <w:widowControl w:val="0"/>
              <w:rPr>
                <w:b w:val="0"/>
              </w:rPr>
            </w:pPr>
            <w:r w:rsidRPr="001705C7">
              <w:rPr>
                <w:b w:val="0"/>
              </w:rPr>
              <w:t>On ELD02- Set the Service Type to “E”</w:t>
            </w:r>
          </w:p>
          <w:p w:rsidR="003F5F70" w:rsidRPr="001705C7" w:rsidRDefault="003F5F70" w:rsidP="00B45CEE">
            <w:pPr>
              <w:widowControl w:val="0"/>
              <w:rPr>
                <w:b w:val="0"/>
              </w:rPr>
            </w:pPr>
          </w:p>
          <w:p w:rsidR="003F5F70" w:rsidRPr="001705C7" w:rsidRDefault="003F5F70" w:rsidP="00B45CEE">
            <w:pPr>
              <w:widowControl w:val="0"/>
              <w:rPr>
                <w:b w:val="0"/>
              </w:rPr>
            </w:pPr>
            <w:r w:rsidRPr="001705C7">
              <w:t>Note:</w:t>
            </w:r>
            <w:r w:rsidRPr="001705C7">
              <w:rPr>
                <w:b w:val="0"/>
              </w:rPr>
              <w:t xml:space="preserve"> Non-citizen beneficiaries in PCAT 71 will not receive a Medicaid card, nor will they be sent an approval notice. The eligibility worker must manually send an approval notice.</w:t>
            </w:r>
          </w:p>
          <w:p w:rsidR="003F5F70" w:rsidRPr="001705C7" w:rsidRDefault="003F5F70" w:rsidP="00B45CEE">
            <w:pPr>
              <w:widowControl w:val="0"/>
              <w:rPr>
                <w:b w:val="0"/>
              </w:rPr>
            </w:pPr>
          </w:p>
        </w:tc>
      </w:tr>
    </w:tbl>
    <w:p w:rsidR="004E2D22" w:rsidRPr="001705C7" w:rsidRDefault="004E2D22" w:rsidP="00B45CEE">
      <w:pPr>
        <w:pStyle w:val="BodyText"/>
        <w:widowControl w:val="0"/>
        <w:jc w:val="both"/>
        <w:rPr>
          <w:bCs/>
        </w:rPr>
      </w:pPr>
    </w:p>
    <w:p w:rsidR="004E2D22" w:rsidRPr="001705C7" w:rsidRDefault="004E2D22" w:rsidP="00B45CEE">
      <w:pPr>
        <w:pStyle w:val="ManualHeading1"/>
        <w:keepNext w:val="0"/>
        <w:widowControl w:val="0"/>
        <w:tabs>
          <w:tab w:val="clear" w:pos="10440"/>
          <w:tab w:val="right" w:pos="9360"/>
        </w:tabs>
        <w:rPr>
          <w:b/>
          <w:sz w:val="24"/>
        </w:rPr>
      </w:pPr>
      <w:bookmarkStart w:id="13" w:name="_Toc415824619"/>
      <w:bookmarkStart w:id="14" w:name="_Toc165693338"/>
      <w:r w:rsidRPr="001705C7">
        <w:rPr>
          <w:b/>
          <w:sz w:val="24"/>
        </w:rPr>
        <w:t>501.04</w:t>
      </w:r>
      <w:r w:rsidRPr="001705C7">
        <w:rPr>
          <w:b/>
          <w:sz w:val="24"/>
        </w:rPr>
        <w:tab/>
        <w:t>Budgeting</w:t>
      </w:r>
      <w:r w:rsidR="00A8049B">
        <w:rPr>
          <w:b/>
          <w:sz w:val="24"/>
        </w:rPr>
        <w:t xml:space="preserve"> and Resources</w:t>
      </w:r>
      <w:bookmarkEnd w:id="13"/>
      <w:r w:rsidRPr="001705C7">
        <w:rPr>
          <w:b/>
          <w:sz w:val="24"/>
        </w:rPr>
        <w:tab/>
      </w:r>
      <w:bookmarkEnd w:id="14"/>
    </w:p>
    <w:p w:rsidR="004E2D22" w:rsidRDefault="004E2D22" w:rsidP="00B45CEE">
      <w:pPr>
        <w:widowControl w:val="0"/>
        <w:rPr>
          <w:b w:val="0"/>
        </w:rPr>
      </w:pPr>
    </w:p>
    <w:p w:rsidR="003F4A96" w:rsidRDefault="003F4A96" w:rsidP="00B45CEE">
      <w:pPr>
        <w:widowControl w:val="0"/>
        <w:jc w:val="both"/>
        <w:rPr>
          <w:b w:val="0"/>
        </w:rPr>
      </w:pPr>
      <w:r w:rsidRPr="003F4A96">
        <w:rPr>
          <w:b w:val="0"/>
        </w:rPr>
        <w:t>The BCCP is a non-MAGI category, and does not follow MAGI methodology. There is no resource requirement for BCCP.</w:t>
      </w:r>
    </w:p>
    <w:p w:rsidR="00C70CED" w:rsidRDefault="00C70CED" w:rsidP="00B45CEE">
      <w:pPr>
        <w:widowControl w:val="0"/>
        <w:jc w:val="both"/>
        <w:rPr>
          <w:b w:val="0"/>
        </w:rPr>
      </w:pPr>
    </w:p>
    <w:p w:rsidR="00C70CED" w:rsidRPr="00C70CED" w:rsidRDefault="00C70CED" w:rsidP="00B45CEE">
      <w:pPr>
        <w:widowControl w:val="0"/>
        <w:jc w:val="both"/>
        <w:rPr>
          <w:b w:val="0"/>
        </w:rPr>
      </w:pPr>
      <w:r w:rsidRPr="00C70CED">
        <w:rPr>
          <w:b w:val="0"/>
        </w:rPr>
        <w:t>To determine an applicant’s total countable monthly income, add together:</w:t>
      </w:r>
    </w:p>
    <w:p w:rsidR="00C70CED" w:rsidRPr="00C70CED" w:rsidRDefault="00C70CED" w:rsidP="00B45CEE">
      <w:pPr>
        <w:widowControl w:val="0"/>
        <w:numPr>
          <w:ilvl w:val="0"/>
          <w:numId w:val="6"/>
        </w:numPr>
        <w:jc w:val="both"/>
        <w:rPr>
          <w:b w:val="0"/>
        </w:rPr>
      </w:pPr>
      <w:r w:rsidRPr="00C70CED">
        <w:rPr>
          <w:b w:val="0"/>
        </w:rPr>
        <w:t xml:space="preserve">The </w:t>
      </w:r>
      <w:r w:rsidRPr="00C70CED">
        <w:rPr>
          <w:b w:val="0"/>
          <w:u w:val="single"/>
        </w:rPr>
        <w:t>monthly gross earned income</w:t>
      </w:r>
      <w:r w:rsidRPr="00C70CED">
        <w:rPr>
          <w:b w:val="0"/>
        </w:rPr>
        <w:t xml:space="preserve"> (</w:t>
      </w:r>
      <w:r w:rsidR="007A7F8C">
        <w:rPr>
          <w:b w:val="0"/>
        </w:rPr>
        <w:t>minus the Earned Income Standard Work Deduction MPPM 501.04.02</w:t>
      </w:r>
      <w:r w:rsidRPr="00C70CED">
        <w:rPr>
          <w:b w:val="0"/>
        </w:rPr>
        <w:t xml:space="preserve">) and </w:t>
      </w:r>
    </w:p>
    <w:p w:rsidR="00C70CED" w:rsidRPr="00C70CED" w:rsidRDefault="00C70CED" w:rsidP="00B45CEE">
      <w:pPr>
        <w:widowControl w:val="0"/>
        <w:numPr>
          <w:ilvl w:val="0"/>
          <w:numId w:val="6"/>
        </w:numPr>
        <w:jc w:val="both"/>
        <w:rPr>
          <w:b w:val="0"/>
        </w:rPr>
      </w:pPr>
      <w:r w:rsidRPr="00C70CED">
        <w:rPr>
          <w:b w:val="0"/>
        </w:rPr>
        <w:t xml:space="preserve">The </w:t>
      </w:r>
      <w:r w:rsidRPr="00C70CED">
        <w:rPr>
          <w:b w:val="0"/>
          <w:u w:val="single"/>
        </w:rPr>
        <w:t>monthly gross unearned income</w:t>
      </w:r>
      <w:r w:rsidRPr="00C70CED">
        <w:rPr>
          <w:b w:val="0"/>
        </w:rPr>
        <w:t xml:space="preserve"> (minus the appropriate </w:t>
      </w:r>
      <w:r w:rsidR="007A7F8C">
        <w:rPr>
          <w:b w:val="0"/>
        </w:rPr>
        <w:t>Child Support Deduction MPPM 501.04.03),</w:t>
      </w:r>
    </w:p>
    <w:p w:rsidR="00C70CED" w:rsidRPr="00C70CED" w:rsidRDefault="00C70CED" w:rsidP="00B45CEE">
      <w:pPr>
        <w:widowControl w:val="0"/>
        <w:numPr>
          <w:ilvl w:val="0"/>
          <w:numId w:val="6"/>
        </w:numPr>
        <w:jc w:val="both"/>
        <w:rPr>
          <w:b w:val="0"/>
        </w:rPr>
      </w:pPr>
      <w:r w:rsidRPr="00C70CED">
        <w:rPr>
          <w:b w:val="0"/>
        </w:rPr>
        <w:t>Then deduct the appropriate child/dependent care deduction</w:t>
      </w:r>
      <w:r w:rsidR="007A7F8C">
        <w:rPr>
          <w:b w:val="0"/>
        </w:rPr>
        <w:t xml:space="preserve"> (MPPM 501.04.04)</w:t>
      </w:r>
      <w:r w:rsidRPr="00C70CED">
        <w:rPr>
          <w:b w:val="0"/>
        </w:rPr>
        <w:t xml:space="preserve">. </w:t>
      </w:r>
    </w:p>
    <w:p w:rsidR="003F4A96" w:rsidRPr="003F4A96" w:rsidRDefault="003F4A96" w:rsidP="00B45CEE">
      <w:pPr>
        <w:widowControl w:val="0"/>
        <w:rPr>
          <w:b w:val="0"/>
        </w:rPr>
      </w:pPr>
    </w:p>
    <w:p w:rsidR="00C86E78" w:rsidRPr="001705C7" w:rsidRDefault="00C86E78" w:rsidP="00B45CEE">
      <w:pPr>
        <w:pStyle w:val="ManualHeading2"/>
        <w:keepNext w:val="0"/>
        <w:tabs>
          <w:tab w:val="right" w:pos="9360"/>
        </w:tabs>
        <w:ind w:right="360"/>
      </w:pPr>
      <w:bookmarkStart w:id="15" w:name="_Toc415824620"/>
      <w:bookmarkStart w:id="16" w:name="_Toc171220364"/>
      <w:r w:rsidRPr="001705C7">
        <w:t>501.04.01</w:t>
      </w:r>
      <w:r w:rsidRPr="001705C7">
        <w:tab/>
        <w:t>Verification and Documentation of Income</w:t>
      </w:r>
      <w:bookmarkEnd w:id="15"/>
      <w:r w:rsidRPr="001705C7">
        <w:tab/>
      </w:r>
      <w:bookmarkEnd w:id="16"/>
    </w:p>
    <w:p w:rsidR="00C86E78" w:rsidRPr="00E02D79" w:rsidRDefault="00C86E78" w:rsidP="00B45CEE">
      <w:pPr>
        <w:pStyle w:val="BodyTextIndent"/>
        <w:widowControl w:val="0"/>
        <w:ind w:left="0"/>
        <w:jc w:val="both"/>
        <w:rPr>
          <w:b/>
          <w:sz w:val="16"/>
        </w:rPr>
      </w:pPr>
    </w:p>
    <w:p w:rsidR="00C86E78" w:rsidRPr="001705C7" w:rsidRDefault="00C86E78" w:rsidP="00B45CEE">
      <w:pPr>
        <w:pStyle w:val="BodyText"/>
        <w:widowControl w:val="0"/>
        <w:jc w:val="both"/>
      </w:pPr>
      <w:r w:rsidRPr="001705C7">
        <w:t xml:space="preserve">The applicant’s statement of the amount of gross monthly household income as documented on the application is sufficient verification. </w:t>
      </w:r>
      <w:r w:rsidR="00A8049B">
        <w:t>The applicant’s</w:t>
      </w:r>
      <w:r w:rsidRPr="001705C7">
        <w:t xml:space="preserve"> income </w:t>
      </w:r>
      <w:r w:rsidR="00A8049B">
        <w:t xml:space="preserve">should </w:t>
      </w:r>
      <w:r w:rsidRPr="001705C7">
        <w:t>only</w:t>
      </w:r>
      <w:r w:rsidR="00A8049B">
        <w:t xml:space="preserve"> be verified</w:t>
      </w:r>
      <w:r w:rsidRPr="001705C7">
        <w:t xml:space="preserve"> if determining eligibility for another Medicaid category.</w:t>
      </w:r>
    </w:p>
    <w:p w:rsidR="00551527" w:rsidRPr="001705C7" w:rsidRDefault="00551527" w:rsidP="00B45CEE">
      <w:pPr>
        <w:pStyle w:val="BodyText"/>
        <w:widowControl w:val="0"/>
        <w:jc w:val="both"/>
      </w:pPr>
    </w:p>
    <w:p w:rsidR="004E2D22" w:rsidRPr="001705C7" w:rsidRDefault="00C86E78" w:rsidP="00B45CEE">
      <w:pPr>
        <w:pStyle w:val="ManualHeading2"/>
        <w:keepNext w:val="0"/>
        <w:tabs>
          <w:tab w:val="right" w:pos="9360"/>
        </w:tabs>
      </w:pPr>
      <w:bookmarkStart w:id="17" w:name="_Toc415824621"/>
      <w:bookmarkStart w:id="18" w:name="_Toc123700439"/>
      <w:bookmarkStart w:id="19" w:name="_Toc165693339"/>
      <w:r w:rsidRPr="001705C7">
        <w:t>501.04.02</w:t>
      </w:r>
      <w:r w:rsidR="004E2D22" w:rsidRPr="001705C7">
        <w:tab/>
        <w:t>Earned Income Standard Work Deduction</w:t>
      </w:r>
      <w:bookmarkEnd w:id="17"/>
      <w:r w:rsidR="004E2D22" w:rsidRPr="001705C7">
        <w:tab/>
      </w:r>
      <w:bookmarkEnd w:id="18"/>
      <w:bookmarkEnd w:id="19"/>
    </w:p>
    <w:p w:rsidR="004E2D22" w:rsidRPr="00E02D79" w:rsidRDefault="004E2D22" w:rsidP="00B45CEE">
      <w:pPr>
        <w:pStyle w:val="BodyTextIndent2"/>
        <w:widowControl w:val="0"/>
        <w:ind w:firstLine="0"/>
        <w:rPr>
          <w:rFonts w:ascii="Arial" w:hAnsi="Arial" w:cs="Arial"/>
          <w:sz w:val="16"/>
        </w:rPr>
      </w:pPr>
    </w:p>
    <w:p w:rsidR="004E2D22" w:rsidRPr="001705C7" w:rsidRDefault="004E2D22" w:rsidP="00B45CEE">
      <w:pPr>
        <w:pStyle w:val="BodyText"/>
        <w:widowControl w:val="0"/>
        <w:jc w:val="both"/>
      </w:pPr>
      <w:r w:rsidRPr="001705C7">
        <w:t xml:space="preserve">A </w:t>
      </w:r>
      <w:r w:rsidR="00331143" w:rsidRPr="001705C7">
        <w:t>s</w:t>
      </w:r>
      <w:r w:rsidRPr="001705C7">
        <w:t>tandard work deduction of $100 is applied to the determined monthly gross earned income.</w:t>
      </w:r>
    </w:p>
    <w:p w:rsidR="004E2D22" w:rsidRPr="001705C7" w:rsidRDefault="004E2D22" w:rsidP="00B45CEE">
      <w:pPr>
        <w:pStyle w:val="BodyTextIndent2"/>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E2D22" w:rsidRPr="001705C7" w:rsidTr="0074697F">
        <w:tc>
          <w:tcPr>
            <w:tcW w:w="5000" w:type="pct"/>
            <w:tcBorders>
              <w:bottom w:val="single" w:sz="4" w:space="0" w:color="auto"/>
            </w:tcBorders>
          </w:tcPr>
          <w:p w:rsidR="004E2D22" w:rsidRPr="001705C7" w:rsidRDefault="004E2D22" w:rsidP="00B45CEE">
            <w:pPr>
              <w:pStyle w:val="BodyTextIndent3"/>
              <w:widowControl w:val="0"/>
              <w:ind w:left="0" w:firstLine="0"/>
              <w:rPr>
                <w:b/>
                <w:bCs/>
              </w:rPr>
            </w:pPr>
          </w:p>
          <w:p w:rsidR="004E2D22" w:rsidRPr="001705C7" w:rsidRDefault="004E2D22" w:rsidP="00B45CEE">
            <w:pPr>
              <w:pStyle w:val="BodyTextIndent3"/>
              <w:widowControl w:val="0"/>
              <w:ind w:left="0" w:firstLine="0"/>
            </w:pPr>
            <w:r w:rsidRPr="001705C7">
              <w:rPr>
                <w:b/>
                <w:bCs/>
              </w:rPr>
              <w:t>Example:</w:t>
            </w:r>
            <w:r w:rsidRPr="001705C7">
              <w:rPr>
                <w:b/>
                <w:bCs/>
              </w:rPr>
              <w:tab/>
            </w:r>
            <w:r w:rsidRPr="001705C7">
              <w:t>Ms. Allen earns $1,000 per month.</w:t>
            </w:r>
          </w:p>
          <w:p w:rsidR="004E2D22" w:rsidRPr="001705C7" w:rsidRDefault="004E2D22" w:rsidP="00B45CEE">
            <w:pPr>
              <w:pStyle w:val="BodyTextIndent3"/>
              <w:widowControl w:val="0"/>
              <w:ind w:left="0" w:firstLine="0"/>
            </w:pPr>
          </w:p>
          <w:p w:rsidR="004E2D22" w:rsidRPr="001705C7" w:rsidRDefault="004E2D22" w:rsidP="00B45CEE">
            <w:pPr>
              <w:widowControl w:val="0"/>
              <w:tabs>
                <w:tab w:val="decimal" w:pos="2160"/>
              </w:tabs>
              <w:autoSpaceDE w:val="0"/>
              <w:autoSpaceDN w:val="0"/>
              <w:adjustRightInd w:val="0"/>
              <w:jc w:val="both"/>
              <w:rPr>
                <w:b w:val="0"/>
                <w:bCs w:val="0"/>
                <w:color w:val="000000"/>
              </w:rPr>
            </w:pPr>
            <w:r w:rsidRPr="001705C7">
              <w:rPr>
                <w:b w:val="0"/>
                <w:bCs w:val="0"/>
                <w:color w:val="000000"/>
              </w:rPr>
              <w:t>$1,000</w:t>
            </w:r>
            <w:r w:rsidRPr="001705C7">
              <w:rPr>
                <w:b w:val="0"/>
                <w:bCs w:val="0"/>
                <w:color w:val="000000"/>
              </w:rPr>
              <w:tab/>
            </w:r>
            <w:r w:rsidR="009974C4" w:rsidRPr="001705C7">
              <w:rPr>
                <w:b w:val="0"/>
                <w:bCs w:val="0"/>
                <w:color w:val="000000"/>
              </w:rPr>
              <w:t>E</w:t>
            </w:r>
            <w:r w:rsidRPr="001705C7">
              <w:rPr>
                <w:b w:val="0"/>
                <w:bCs w:val="0"/>
                <w:color w:val="000000"/>
              </w:rPr>
              <w:t>arned income</w:t>
            </w:r>
          </w:p>
          <w:p w:rsidR="004E2D22" w:rsidRPr="001705C7" w:rsidRDefault="004E2D22" w:rsidP="00B45CEE">
            <w:pPr>
              <w:widowControl w:val="0"/>
              <w:tabs>
                <w:tab w:val="decimal" w:pos="2160"/>
              </w:tabs>
              <w:autoSpaceDE w:val="0"/>
              <w:autoSpaceDN w:val="0"/>
              <w:adjustRightInd w:val="0"/>
              <w:jc w:val="both"/>
              <w:rPr>
                <w:b w:val="0"/>
                <w:bCs w:val="0"/>
                <w:color w:val="000000"/>
              </w:rPr>
            </w:pPr>
            <w:r w:rsidRPr="001705C7">
              <w:rPr>
                <w:b w:val="0"/>
                <w:bCs w:val="0"/>
                <w:color w:val="000000"/>
                <w:u w:val="single"/>
              </w:rPr>
              <w:t>-100</w:t>
            </w:r>
            <w:r w:rsidRPr="001705C7">
              <w:rPr>
                <w:b w:val="0"/>
                <w:bCs w:val="0"/>
                <w:color w:val="000000"/>
              </w:rPr>
              <w:tab/>
            </w:r>
            <w:r w:rsidR="009974C4" w:rsidRPr="001705C7">
              <w:rPr>
                <w:b w:val="0"/>
                <w:bCs w:val="0"/>
                <w:color w:val="000000"/>
              </w:rPr>
              <w:t>E</w:t>
            </w:r>
            <w:r w:rsidRPr="001705C7">
              <w:rPr>
                <w:b w:val="0"/>
                <w:bCs w:val="0"/>
                <w:color w:val="000000"/>
              </w:rPr>
              <w:t>arned income disregard</w:t>
            </w:r>
          </w:p>
          <w:p w:rsidR="004E2D22" w:rsidRPr="001705C7" w:rsidRDefault="004E2D22" w:rsidP="00B45CEE">
            <w:pPr>
              <w:widowControl w:val="0"/>
              <w:tabs>
                <w:tab w:val="decimal" w:pos="2160"/>
              </w:tabs>
              <w:autoSpaceDE w:val="0"/>
              <w:autoSpaceDN w:val="0"/>
              <w:adjustRightInd w:val="0"/>
              <w:jc w:val="both"/>
              <w:rPr>
                <w:b w:val="0"/>
                <w:bCs w:val="0"/>
                <w:color w:val="000000"/>
              </w:rPr>
            </w:pPr>
            <w:r w:rsidRPr="001705C7">
              <w:rPr>
                <w:b w:val="0"/>
                <w:bCs w:val="0"/>
                <w:color w:val="000000"/>
              </w:rPr>
              <w:t>$900</w:t>
            </w:r>
            <w:r w:rsidRPr="001705C7">
              <w:rPr>
                <w:b w:val="0"/>
                <w:bCs w:val="0"/>
                <w:color w:val="000000"/>
              </w:rPr>
              <w:tab/>
            </w:r>
            <w:r w:rsidR="00C70CED">
              <w:rPr>
                <w:b w:val="0"/>
                <w:bCs w:val="0"/>
                <w:color w:val="000000"/>
              </w:rPr>
              <w:t>N</w:t>
            </w:r>
            <w:r w:rsidRPr="001705C7">
              <w:rPr>
                <w:b w:val="0"/>
                <w:bCs w:val="0"/>
              </w:rPr>
              <w:t>et</w:t>
            </w:r>
            <w:r w:rsidR="00C70CED">
              <w:rPr>
                <w:b w:val="0"/>
                <w:bCs w:val="0"/>
              </w:rPr>
              <w:t xml:space="preserve"> Earned</w:t>
            </w:r>
            <w:r w:rsidRPr="001705C7">
              <w:rPr>
                <w:b w:val="0"/>
                <w:bCs w:val="0"/>
              </w:rPr>
              <w:t xml:space="preserve"> income</w:t>
            </w:r>
          </w:p>
          <w:p w:rsidR="004E2D22" w:rsidRPr="001705C7" w:rsidRDefault="004E2D22" w:rsidP="00B45CEE">
            <w:pPr>
              <w:widowControl w:val="0"/>
              <w:tabs>
                <w:tab w:val="decimal" w:pos="2160"/>
              </w:tabs>
              <w:autoSpaceDE w:val="0"/>
              <w:autoSpaceDN w:val="0"/>
              <w:adjustRightInd w:val="0"/>
              <w:jc w:val="both"/>
              <w:rPr>
                <w:b w:val="0"/>
                <w:bCs w:val="0"/>
              </w:rPr>
            </w:pPr>
          </w:p>
        </w:tc>
      </w:tr>
    </w:tbl>
    <w:p w:rsidR="004E2D22" w:rsidRPr="001705C7" w:rsidRDefault="004E2D22" w:rsidP="00B45CEE">
      <w:pPr>
        <w:pStyle w:val="BodyText"/>
        <w:widowControl w:val="0"/>
        <w:jc w:val="both"/>
      </w:pPr>
    </w:p>
    <w:p w:rsidR="007A7F8C" w:rsidRPr="001705C7" w:rsidRDefault="007A7F8C" w:rsidP="00661E5F">
      <w:pPr>
        <w:pStyle w:val="ManualHeading2"/>
        <w:keepNext w:val="0"/>
        <w:tabs>
          <w:tab w:val="right" w:pos="9360"/>
        </w:tabs>
      </w:pPr>
      <w:bookmarkStart w:id="20" w:name="_Toc415824622"/>
      <w:bookmarkStart w:id="21" w:name="_Toc123700443"/>
      <w:bookmarkStart w:id="22" w:name="_Toc165693341"/>
      <w:bookmarkStart w:id="23" w:name="_Toc123700442"/>
      <w:bookmarkStart w:id="24" w:name="_Toc165693340"/>
      <w:r>
        <w:t>501.04.03</w:t>
      </w:r>
      <w:r w:rsidRPr="001705C7">
        <w:tab/>
      </w:r>
      <w:r>
        <w:t>Child Support Deduction</w:t>
      </w:r>
      <w:bookmarkEnd w:id="20"/>
      <w:r w:rsidRPr="001705C7">
        <w:tab/>
      </w:r>
      <w:bookmarkEnd w:id="21"/>
      <w:bookmarkEnd w:id="22"/>
    </w:p>
    <w:p w:rsidR="007A7F8C" w:rsidRPr="001705C7" w:rsidRDefault="007A7F8C" w:rsidP="00B45CEE">
      <w:pPr>
        <w:pStyle w:val="Style"/>
        <w:ind w:left="0" w:firstLine="0"/>
        <w:jc w:val="both"/>
        <w:rPr>
          <w:rFonts w:ascii="Arial" w:hAnsi="Arial" w:cs="Arial"/>
          <w:sz w:val="24"/>
        </w:rPr>
      </w:pPr>
    </w:p>
    <w:p w:rsidR="007A7F8C" w:rsidRPr="00C70CED" w:rsidRDefault="007A7F8C" w:rsidP="00B45CEE">
      <w:pPr>
        <w:pStyle w:val="BodyText"/>
        <w:widowControl w:val="0"/>
        <w:jc w:val="both"/>
      </w:pPr>
      <w:r w:rsidRPr="00C70CED">
        <w:t>If the applicant’s income is within the FPL guidelines after applying the standard work deduction, the eligibility worker may proceed with the eligibility determination.</w:t>
      </w:r>
    </w:p>
    <w:p w:rsidR="007A7F8C" w:rsidRPr="00C70CED" w:rsidRDefault="007A7F8C" w:rsidP="00B45CEE">
      <w:pPr>
        <w:pStyle w:val="BodyText"/>
        <w:widowControl w:val="0"/>
        <w:jc w:val="both"/>
      </w:pPr>
    </w:p>
    <w:p w:rsidR="007A7F8C" w:rsidRPr="00C70CED" w:rsidRDefault="007A7F8C" w:rsidP="00B45CEE">
      <w:pPr>
        <w:pStyle w:val="BodyText"/>
        <w:widowControl w:val="0"/>
        <w:jc w:val="both"/>
      </w:pPr>
      <w:r w:rsidRPr="00C70CED">
        <w:t xml:space="preserve">If the applicant’s income is not within the FPL guidelines after applying the standard work deduction, the eligibility worker should provide the applicant with the Medicaid Eligibility Checklist, </w:t>
      </w:r>
      <w:hyperlink r:id="rId17" w:history="1">
        <w:r w:rsidRPr="00C70CED">
          <w:rPr>
            <w:rStyle w:val="Hyperlink"/>
          </w:rPr>
          <w:t>DHHS FM 1233</w:t>
        </w:r>
      </w:hyperlink>
      <w:r w:rsidRPr="00C70CED">
        <w:t>. The eligibility worker should include questions on the Checklist regarding the child support deduction and the child/dependent care deduction.</w:t>
      </w:r>
    </w:p>
    <w:p w:rsidR="007A7F8C" w:rsidRPr="00EB2A5B" w:rsidRDefault="007A7F8C" w:rsidP="00B45CEE">
      <w:pPr>
        <w:pStyle w:val="BodyText"/>
        <w:widowControl w:val="0"/>
        <w:jc w:val="both"/>
        <w:rPr>
          <w:color w:val="000000"/>
        </w:rPr>
      </w:pPr>
    </w:p>
    <w:p w:rsidR="007A7F8C" w:rsidRDefault="007A7F8C" w:rsidP="00B45CEE">
      <w:pPr>
        <w:pStyle w:val="Style"/>
        <w:ind w:left="0" w:firstLine="0"/>
        <w:jc w:val="both"/>
        <w:rPr>
          <w:rFonts w:ascii="Arial" w:hAnsi="Arial" w:cs="Arial"/>
          <w:sz w:val="24"/>
        </w:rPr>
      </w:pPr>
      <w:r w:rsidRPr="00C70CED">
        <w:rPr>
          <w:rFonts w:ascii="Arial" w:hAnsi="Arial" w:cs="Arial"/>
          <w:sz w:val="24"/>
        </w:rPr>
        <w:t xml:space="preserve">The child support deduction amounts to $50 for applicants who receive child support. To apply the child support deduction, deduct $50 if the applicant receives child support. </w:t>
      </w:r>
    </w:p>
    <w:p w:rsidR="007A7F8C" w:rsidRPr="00C70CED" w:rsidRDefault="007A7F8C" w:rsidP="00B45CEE">
      <w:pPr>
        <w:pStyle w:val="Style"/>
        <w:ind w:left="0" w:firstLine="0"/>
        <w:jc w:val="both"/>
        <w:rPr>
          <w:rFonts w:ascii="Arial" w:hAnsi="Arial" w:cs="Arial"/>
          <w:sz w:val="24"/>
        </w:rPr>
      </w:pPr>
    </w:p>
    <w:p w:rsidR="004E2D22" w:rsidRPr="001705C7" w:rsidRDefault="00C86E78" w:rsidP="00B45CEE">
      <w:pPr>
        <w:pStyle w:val="ManualHeading2"/>
        <w:keepNext w:val="0"/>
        <w:tabs>
          <w:tab w:val="right" w:pos="9360"/>
        </w:tabs>
      </w:pPr>
      <w:bookmarkStart w:id="25" w:name="_Toc415824623"/>
      <w:r w:rsidRPr="001705C7">
        <w:t>501.04.0</w:t>
      </w:r>
      <w:r w:rsidR="007A7F8C">
        <w:t>4</w:t>
      </w:r>
      <w:r w:rsidR="004E2D22" w:rsidRPr="001705C7">
        <w:tab/>
        <w:t>Child/Dependent Care Deduction</w:t>
      </w:r>
      <w:bookmarkEnd w:id="25"/>
      <w:r w:rsidR="004E2D22" w:rsidRPr="001705C7">
        <w:tab/>
      </w:r>
      <w:bookmarkEnd w:id="23"/>
      <w:bookmarkEnd w:id="24"/>
    </w:p>
    <w:p w:rsidR="004E2D22" w:rsidRPr="001705C7" w:rsidRDefault="004E2D22" w:rsidP="00B45CEE">
      <w:pPr>
        <w:pStyle w:val="Style"/>
        <w:ind w:left="0" w:firstLine="0"/>
        <w:jc w:val="both"/>
        <w:rPr>
          <w:rFonts w:ascii="Arial" w:hAnsi="Arial" w:cs="Arial"/>
          <w:sz w:val="24"/>
        </w:rPr>
      </w:pPr>
    </w:p>
    <w:p w:rsidR="004E2D22" w:rsidRPr="001705C7" w:rsidRDefault="00A855D5" w:rsidP="00B45CEE">
      <w:pPr>
        <w:pStyle w:val="Style"/>
        <w:ind w:left="0" w:firstLine="0"/>
        <w:jc w:val="both"/>
        <w:rPr>
          <w:rFonts w:ascii="Arial" w:hAnsi="Arial" w:cs="Arial"/>
          <w:sz w:val="24"/>
        </w:rPr>
      </w:pPr>
      <w:r w:rsidRPr="001705C7">
        <w:rPr>
          <w:rFonts w:ascii="Arial" w:hAnsi="Arial" w:cs="Arial"/>
          <w:sz w:val="24"/>
        </w:rPr>
        <w:t>To determine the amount of the deduction, deduct a d</w:t>
      </w:r>
      <w:r w:rsidR="004E2D22" w:rsidRPr="001705C7">
        <w:rPr>
          <w:rFonts w:ascii="Arial" w:hAnsi="Arial" w:cs="Arial"/>
          <w:sz w:val="24"/>
        </w:rPr>
        <w:t>ependent care expense of up to $200 per month, per child under age 12 or incapacitated adult, reduced by the amount of ABC Childcare Assistance. This deduction is allowed if the parent or caretaker relative is employed or attending school. School attendance must be verified. The deduction is allowed for any income in the budget group, regardless of the type or ownership of income.</w:t>
      </w:r>
    </w:p>
    <w:p w:rsidR="004E2D22" w:rsidRPr="001705C7" w:rsidRDefault="004E2D22" w:rsidP="00B45CEE">
      <w:pPr>
        <w:pStyle w:val="Style"/>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E2D22" w:rsidRPr="001705C7" w:rsidTr="0074697F">
        <w:tc>
          <w:tcPr>
            <w:tcW w:w="5000" w:type="pct"/>
          </w:tcPr>
          <w:p w:rsidR="004E2D22" w:rsidRPr="001705C7" w:rsidRDefault="004E2D22" w:rsidP="00B45CEE">
            <w:pPr>
              <w:widowControl w:val="0"/>
              <w:autoSpaceDE w:val="0"/>
              <w:autoSpaceDN w:val="0"/>
              <w:adjustRightInd w:val="0"/>
              <w:jc w:val="both"/>
              <w:rPr>
                <w:b w:val="0"/>
                <w:bCs w:val="0"/>
              </w:rPr>
            </w:pPr>
            <w:r w:rsidRPr="001705C7">
              <w:t>Example #1:</w:t>
            </w:r>
            <w:r w:rsidRPr="001705C7">
              <w:rPr>
                <w:b w:val="0"/>
              </w:rPr>
              <w:tab/>
            </w:r>
            <w:r w:rsidRPr="001705C7">
              <w:rPr>
                <w:b w:val="0"/>
                <w:bCs w:val="0"/>
              </w:rPr>
              <w:t>Ms. Cartwright attends school. The only income in the home is child support received by her three sons of $500 each. She pays $80 per week childcare for her 3-year-old son, Adam.</w:t>
            </w:r>
          </w:p>
          <w:p w:rsidR="004E2D22" w:rsidRPr="001705C7" w:rsidRDefault="004E2D22" w:rsidP="00B45CEE">
            <w:pPr>
              <w:widowControl w:val="0"/>
              <w:autoSpaceDE w:val="0"/>
              <w:autoSpaceDN w:val="0"/>
              <w:adjustRightInd w:val="0"/>
              <w:jc w:val="both"/>
              <w:rPr>
                <w:b w:val="0"/>
                <w:bCs w:val="0"/>
              </w:rPr>
            </w:pPr>
          </w:p>
          <w:p w:rsidR="004E2D22" w:rsidRPr="001705C7" w:rsidRDefault="004E2D22" w:rsidP="00B45CEE">
            <w:pPr>
              <w:widowControl w:val="0"/>
              <w:autoSpaceDE w:val="0"/>
              <w:autoSpaceDN w:val="0"/>
              <w:adjustRightInd w:val="0"/>
              <w:ind w:left="360"/>
              <w:jc w:val="both"/>
              <w:rPr>
                <w:b w:val="0"/>
                <w:bCs w:val="0"/>
              </w:rPr>
            </w:pPr>
            <w:r w:rsidRPr="001705C7">
              <w:rPr>
                <w:b w:val="0"/>
                <w:bCs w:val="0"/>
              </w:rPr>
              <w:t>$80 x 4.33 = $346.40</w:t>
            </w:r>
          </w:p>
          <w:p w:rsidR="004E2D22" w:rsidRPr="001705C7" w:rsidRDefault="004E2D22" w:rsidP="00B45CEE">
            <w:pPr>
              <w:widowControl w:val="0"/>
              <w:autoSpaceDE w:val="0"/>
              <w:autoSpaceDN w:val="0"/>
              <w:adjustRightInd w:val="0"/>
              <w:ind w:left="360"/>
              <w:jc w:val="both"/>
              <w:rPr>
                <w:b w:val="0"/>
                <w:bCs w:val="0"/>
              </w:rPr>
            </w:pPr>
            <w:r w:rsidRPr="001705C7">
              <w:rPr>
                <w:b w:val="0"/>
                <w:bCs w:val="0"/>
              </w:rPr>
              <w:t>$346.40 &gt; $200 maximum allowable deduction</w:t>
            </w:r>
          </w:p>
          <w:p w:rsidR="004E2D22" w:rsidRPr="001705C7" w:rsidRDefault="004E2D22" w:rsidP="00B45CEE">
            <w:pPr>
              <w:widowControl w:val="0"/>
              <w:autoSpaceDE w:val="0"/>
              <w:autoSpaceDN w:val="0"/>
              <w:adjustRightInd w:val="0"/>
              <w:jc w:val="both"/>
              <w:rPr>
                <w:b w:val="0"/>
                <w:bCs w:val="0"/>
              </w:rPr>
            </w:pPr>
          </w:p>
          <w:p w:rsidR="004E2D22" w:rsidRPr="001705C7" w:rsidRDefault="004E2D22" w:rsidP="00B45CEE">
            <w:pPr>
              <w:widowControl w:val="0"/>
              <w:tabs>
                <w:tab w:val="decimal" w:pos="2160"/>
              </w:tabs>
              <w:autoSpaceDE w:val="0"/>
              <w:autoSpaceDN w:val="0"/>
              <w:adjustRightInd w:val="0"/>
              <w:ind w:left="360"/>
              <w:jc w:val="both"/>
              <w:rPr>
                <w:b w:val="0"/>
                <w:bCs w:val="0"/>
              </w:rPr>
            </w:pPr>
            <w:r w:rsidRPr="001705C7">
              <w:rPr>
                <w:b w:val="0"/>
                <w:bCs w:val="0"/>
              </w:rPr>
              <w:t>$1,500.00</w:t>
            </w:r>
            <w:r w:rsidRPr="001705C7">
              <w:rPr>
                <w:b w:val="0"/>
                <w:bCs w:val="0"/>
              </w:rPr>
              <w:tab/>
              <w:t>child support</w:t>
            </w:r>
          </w:p>
          <w:p w:rsidR="004E2D22" w:rsidRPr="001705C7" w:rsidRDefault="004E2D22" w:rsidP="00B45CEE">
            <w:pPr>
              <w:widowControl w:val="0"/>
              <w:tabs>
                <w:tab w:val="decimal" w:pos="2160"/>
              </w:tabs>
              <w:autoSpaceDE w:val="0"/>
              <w:autoSpaceDN w:val="0"/>
              <w:adjustRightInd w:val="0"/>
              <w:ind w:left="360"/>
              <w:jc w:val="both"/>
              <w:rPr>
                <w:b w:val="0"/>
                <w:bCs w:val="0"/>
              </w:rPr>
            </w:pPr>
            <w:r w:rsidRPr="001705C7">
              <w:rPr>
                <w:b w:val="0"/>
                <w:bCs w:val="0"/>
                <w:u w:val="single"/>
              </w:rPr>
              <w:t>-  50.00</w:t>
            </w:r>
            <w:r w:rsidRPr="001705C7">
              <w:rPr>
                <w:b w:val="0"/>
                <w:bCs w:val="0"/>
              </w:rPr>
              <w:tab/>
              <w:t>child support deduction</w:t>
            </w:r>
          </w:p>
          <w:p w:rsidR="004E2D22" w:rsidRPr="001705C7" w:rsidRDefault="004E2D22" w:rsidP="00B45CEE">
            <w:pPr>
              <w:widowControl w:val="0"/>
              <w:tabs>
                <w:tab w:val="decimal" w:pos="2160"/>
              </w:tabs>
              <w:autoSpaceDE w:val="0"/>
              <w:autoSpaceDN w:val="0"/>
              <w:adjustRightInd w:val="0"/>
              <w:ind w:left="360"/>
              <w:jc w:val="both"/>
              <w:rPr>
                <w:b w:val="0"/>
                <w:bCs w:val="0"/>
              </w:rPr>
            </w:pPr>
            <w:r w:rsidRPr="001705C7">
              <w:rPr>
                <w:b w:val="0"/>
                <w:bCs w:val="0"/>
              </w:rPr>
              <w:t>$1,450.00</w:t>
            </w:r>
            <w:r w:rsidRPr="001705C7">
              <w:rPr>
                <w:b w:val="0"/>
                <w:bCs w:val="0"/>
              </w:rPr>
              <w:tab/>
              <w:t>net child support</w:t>
            </w:r>
          </w:p>
          <w:p w:rsidR="004E2D22" w:rsidRPr="001705C7" w:rsidRDefault="004E2D22" w:rsidP="00B45CEE">
            <w:pPr>
              <w:widowControl w:val="0"/>
              <w:tabs>
                <w:tab w:val="decimal" w:pos="2160"/>
              </w:tabs>
              <w:autoSpaceDE w:val="0"/>
              <w:autoSpaceDN w:val="0"/>
              <w:adjustRightInd w:val="0"/>
              <w:ind w:left="360"/>
              <w:jc w:val="both"/>
              <w:rPr>
                <w:b w:val="0"/>
                <w:bCs w:val="0"/>
              </w:rPr>
            </w:pPr>
          </w:p>
          <w:p w:rsidR="004E2D22" w:rsidRPr="001705C7" w:rsidRDefault="004E2D22" w:rsidP="00B45CEE">
            <w:pPr>
              <w:widowControl w:val="0"/>
              <w:tabs>
                <w:tab w:val="decimal" w:pos="2160"/>
              </w:tabs>
              <w:autoSpaceDE w:val="0"/>
              <w:autoSpaceDN w:val="0"/>
              <w:adjustRightInd w:val="0"/>
              <w:ind w:left="360"/>
              <w:jc w:val="both"/>
              <w:rPr>
                <w:b w:val="0"/>
                <w:bCs w:val="0"/>
              </w:rPr>
            </w:pPr>
            <w:r w:rsidRPr="001705C7">
              <w:rPr>
                <w:b w:val="0"/>
                <w:bCs w:val="0"/>
              </w:rPr>
              <w:t>$1,450.00</w:t>
            </w:r>
            <w:r w:rsidRPr="001705C7">
              <w:rPr>
                <w:b w:val="0"/>
                <w:bCs w:val="0"/>
              </w:rPr>
              <w:tab/>
              <w:t>net child support</w:t>
            </w:r>
          </w:p>
          <w:p w:rsidR="004E2D22" w:rsidRPr="001705C7" w:rsidRDefault="004E2D22" w:rsidP="00B45CEE">
            <w:pPr>
              <w:widowControl w:val="0"/>
              <w:tabs>
                <w:tab w:val="decimal" w:pos="2160"/>
              </w:tabs>
              <w:autoSpaceDE w:val="0"/>
              <w:autoSpaceDN w:val="0"/>
              <w:adjustRightInd w:val="0"/>
              <w:ind w:left="360"/>
              <w:jc w:val="both"/>
              <w:rPr>
                <w:b w:val="0"/>
                <w:bCs w:val="0"/>
              </w:rPr>
            </w:pPr>
            <w:r w:rsidRPr="001705C7">
              <w:rPr>
                <w:b w:val="0"/>
                <w:bCs w:val="0"/>
                <w:u w:val="single"/>
              </w:rPr>
              <w:t>- 200.00</w:t>
            </w:r>
            <w:r w:rsidRPr="001705C7">
              <w:rPr>
                <w:b w:val="0"/>
                <w:bCs w:val="0"/>
              </w:rPr>
              <w:tab/>
              <w:t>childcare deduction</w:t>
            </w:r>
          </w:p>
          <w:p w:rsidR="004E2D22" w:rsidRPr="001705C7" w:rsidRDefault="004E2D22" w:rsidP="00B45CEE">
            <w:pPr>
              <w:widowControl w:val="0"/>
              <w:tabs>
                <w:tab w:val="decimal" w:pos="2160"/>
              </w:tabs>
              <w:autoSpaceDE w:val="0"/>
              <w:autoSpaceDN w:val="0"/>
              <w:adjustRightInd w:val="0"/>
              <w:ind w:left="360"/>
              <w:jc w:val="both"/>
              <w:rPr>
                <w:b w:val="0"/>
                <w:bCs w:val="0"/>
              </w:rPr>
            </w:pPr>
            <w:r w:rsidRPr="001705C7">
              <w:rPr>
                <w:b w:val="0"/>
                <w:bCs w:val="0"/>
              </w:rPr>
              <w:t>$1,250.00</w:t>
            </w:r>
            <w:r w:rsidRPr="001705C7">
              <w:rPr>
                <w:b w:val="0"/>
                <w:bCs w:val="0"/>
              </w:rPr>
              <w:tab/>
              <w:t>net monthly income</w:t>
            </w:r>
          </w:p>
          <w:p w:rsidR="004E2D22" w:rsidRPr="001705C7" w:rsidRDefault="004E2D22" w:rsidP="00B45CEE">
            <w:pPr>
              <w:widowControl w:val="0"/>
              <w:tabs>
                <w:tab w:val="decimal" w:pos="2160"/>
              </w:tabs>
              <w:autoSpaceDE w:val="0"/>
              <w:autoSpaceDN w:val="0"/>
              <w:adjustRightInd w:val="0"/>
              <w:jc w:val="both"/>
              <w:rPr>
                <w:b w:val="0"/>
                <w:bCs w:val="0"/>
              </w:rPr>
            </w:pPr>
          </w:p>
        </w:tc>
      </w:tr>
      <w:tr w:rsidR="004E2D22" w:rsidRPr="001705C7" w:rsidTr="0074697F">
        <w:tc>
          <w:tcPr>
            <w:tcW w:w="5000" w:type="pct"/>
            <w:tcBorders>
              <w:bottom w:val="single" w:sz="4" w:space="0" w:color="auto"/>
            </w:tcBorders>
          </w:tcPr>
          <w:p w:rsidR="004E2D22" w:rsidRPr="001705C7" w:rsidRDefault="004E2D22" w:rsidP="00B45CEE">
            <w:pPr>
              <w:widowControl w:val="0"/>
              <w:autoSpaceDE w:val="0"/>
              <w:autoSpaceDN w:val="0"/>
              <w:adjustRightInd w:val="0"/>
              <w:jc w:val="both"/>
              <w:rPr>
                <w:b w:val="0"/>
              </w:rPr>
            </w:pPr>
          </w:p>
          <w:p w:rsidR="004E2D22" w:rsidRPr="001705C7" w:rsidRDefault="004E2D22" w:rsidP="00B45CEE">
            <w:pPr>
              <w:widowControl w:val="0"/>
              <w:autoSpaceDE w:val="0"/>
              <w:autoSpaceDN w:val="0"/>
              <w:adjustRightInd w:val="0"/>
              <w:jc w:val="both"/>
              <w:rPr>
                <w:b w:val="0"/>
                <w:bCs w:val="0"/>
              </w:rPr>
            </w:pPr>
            <w:r w:rsidRPr="001705C7">
              <w:t>Example #2:</w:t>
            </w:r>
            <w:r w:rsidRPr="001705C7">
              <w:rPr>
                <w:b w:val="0"/>
              </w:rPr>
              <w:tab/>
            </w:r>
            <w:r w:rsidRPr="001705C7">
              <w:rPr>
                <w:b w:val="0"/>
                <w:bCs w:val="0"/>
              </w:rPr>
              <w:t>M</w:t>
            </w:r>
            <w:r w:rsidR="00E65825" w:rsidRPr="001705C7">
              <w:rPr>
                <w:b w:val="0"/>
                <w:bCs w:val="0"/>
              </w:rPr>
              <w:t>r</w:t>
            </w:r>
            <w:r w:rsidRPr="001705C7">
              <w:rPr>
                <w:b w:val="0"/>
                <w:bCs w:val="0"/>
              </w:rPr>
              <w:t>. B</w:t>
            </w:r>
            <w:r w:rsidR="00A855D5" w:rsidRPr="001705C7">
              <w:rPr>
                <w:b w:val="0"/>
                <w:bCs w:val="0"/>
              </w:rPr>
              <w:t>riggs</w:t>
            </w:r>
            <w:r w:rsidRPr="001705C7">
              <w:rPr>
                <w:b w:val="0"/>
                <w:bCs w:val="0"/>
              </w:rPr>
              <w:t xml:space="preserve"> attends school. </w:t>
            </w:r>
            <w:r w:rsidR="00E65825" w:rsidRPr="001705C7">
              <w:rPr>
                <w:b w:val="0"/>
                <w:bCs w:val="0"/>
              </w:rPr>
              <w:t>He earns $300 per month from his</w:t>
            </w:r>
            <w:r w:rsidRPr="001705C7">
              <w:rPr>
                <w:b w:val="0"/>
                <w:bCs w:val="0"/>
              </w:rPr>
              <w:t xml:space="preserve"> part-time job. </w:t>
            </w:r>
            <w:r w:rsidR="00E65825" w:rsidRPr="001705C7">
              <w:rPr>
                <w:b w:val="0"/>
                <w:bCs w:val="0"/>
              </w:rPr>
              <w:t>He and his</w:t>
            </w:r>
            <w:r w:rsidRPr="001705C7">
              <w:rPr>
                <w:b w:val="0"/>
                <w:bCs w:val="0"/>
              </w:rPr>
              <w:t xml:space="preserve"> two children receive $500 each in SSA survivor’s benefits for a total of $1,500. Daycare costs a</w:t>
            </w:r>
            <w:r w:rsidR="00E65825" w:rsidRPr="001705C7">
              <w:rPr>
                <w:b w:val="0"/>
                <w:bCs w:val="0"/>
              </w:rPr>
              <w:t xml:space="preserve">re $40 per week for each of his </w:t>
            </w:r>
            <w:r w:rsidRPr="001705C7">
              <w:rPr>
                <w:b w:val="0"/>
                <w:bCs w:val="0"/>
              </w:rPr>
              <w:t>two children.</w:t>
            </w:r>
          </w:p>
          <w:p w:rsidR="004E2D22" w:rsidRPr="001705C7" w:rsidRDefault="004E2D22" w:rsidP="00B45CEE">
            <w:pPr>
              <w:widowControl w:val="0"/>
              <w:autoSpaceDE w:val="0"/>
              <w:autoSpaceDN w:val="0"/>
              <w:adjustRightInd w:val="0"/>
              <w:ind w:left="360"/>
              <w:jc w:val="both"/>
              <w:rPr>
                <w:b w:val="0"/>
                <w:bCs w:val="0"/>
              </w:rPr>
            </w:pPr>
          </w:p>
          <w:p w:rsidR="004E2D22" w:rsidRPr="001705C7" w:rsidRDefault="004E2D22" w:rsidP="00B45CEE">
            <w:pPr>
              <w:widowControl w:val="0"/>
              <w:autoSpaceDE w:val="0"/>
              <w:autoSpaceDN w:val="0"/>
              <w:adjustRightInd w:val="0"/>
              <w:ind w:left="360"/>
              <w:jc w:val="both"/>
              <w:rPr>
                <w:b w:val="0"/>
                <w:bCs w:val="0"/>
              </w:rPr>
            </w:pPr>
            <w:r w:rsidRPr="001705C7">
              <w:rPr>
                <w:b w:val="0"/>
                <w:bCs w:val="0"/>
              </w:rPr>
              <w:t>$40 x 4.33 = $173.20</w:t>
            </w:r>
          </w:p>
          <w:p w:rsidR="004E2D22" w:rsidRPr="001705C7" w:rsidRDefault="004E2D22" w:rsidP="00B45CEE">
            <w:pPr>
              <w:widowControl w:val="0"/>
              <w:autoSpaceDE w:val="0"/>
              <w:autoSpaceDN w:val="0"/>
              <w:adjustRightInd w:val="0"/>
              <w:ind w:left="360"/>
              <w:jc w:val="both"/>
              <w:rPr>
                <w:b w:val="0"/>
                <w:bCs w:val="0"/>
              </w:rPr>
            </w:pPr>
            <w:r w:rsidRPr="001705C7">
              <w:rPr>
                <w:b w:val="0"/>
                <w:bCs w:val="0"/>
              </w:rPr>
              <w:t>$173.20 &lt; $200 maximum allowable deduction per child.</w:t>
            </w:r>
          </w:p>
          <w:p w:rsidR="004E2D22" w:rsidRPr="001705C7" w:rsidRDefault="004E2D22" w:rsidP="00B45CEE">
            <w:pPr>
              <w:widowControl w:val="0"/>
              <w:autoSpaceDE w:val="0"/>
              <w:autoSpaceDN w:val="0"/>
              <w:adjustRightInd w:val="0"/>
              <w:jc w:val="both"/>
              <w:rPr>
                <w:b w:val="0"/>
                <w:bCs w:val="0"/>
              </w:rPr>
            </w:pPr>
          </w:p>
          <w:p w:rsidR="004E2D22" w:rsidRPr="001705C7" w:rsidRDefault="004E2D22" w:rsidP="00B45CEE">
            <w:pPr>
              <w:widowControl w:val="0"/>
              <w:tabs>
                <w:tab w:val="decimal" w:pos="2160"/>
              </w:tabs>
              <w:autoSpaceDE w:val="0"/>
              <w:autoSpaceDN w:val="0"/>
              <w:adjustRightInd w:val="0"/>
              <w:jc w:val="both"/>
              <w:rPr>
                <w:b w:val="0"/>
                <w:bCs w:val="0"/>
                <w:color w:val="000000"/>
              </w:rPr>
            </w:pPr>
            <w:r w:rsidRPr="001705C7">
              <w:rPr>
                <w:b w:val="0"/>
                <w:bCs w:val="0"/>
                <w:color w:val="000000"/>
              </w:rPr>
              <w:t>$300.00</w:t>
            </w:r>
            <w:r w:rsidRPr="001705C7">
              <w:rPr>
                <w:b w:val="0"/>
                <w:bCs w:val="0"/>
                <w:color w:val="000000"/>
              </w:rPr>
              <w:tab/>
              <w:t>earned income</w:t>
            </w:r>
          </w:p>
          <w:p w:rsidR="004E2D22" w:rsidRPr="001705C7" w:rsidRDefault="004E2D22" w:rsidP="00B45CEE">
            <w:pPr>
              <w:widowControl w:val="0"/>
              <w:tabs>
                <w:tab w:val="decimal" w:pos="2160"/>
              </w:tabs>
              <w:autoSpaceDE w:val="0"/>
              <w:autoSpaceDN w:val="0"/>
              <w:adjustRightInd w:val="0"/>
              <w:jc w:val="both"/>
              <w:rPr>
                <w:b w:val="0"/>
                <w:bCs w:val="0"/>
                <w:color w:val="000000"/>
              </w:rPr>
            </w:pPr>
            <w:r w:rsidRPr="001705C7">
              <w:rPr>
                <w:b w:val="0"/>
                <w:bCs w:val="0"/>
                <w:color w:val="000000"/>
                <w:u w:val="single"/>
              </w:rPr>
              <w:t>-100.00</w:t>
            </w:r>
            <w:r w:rsidRPr="001705C7">
              <w:rPr>
                <w:b w:val="0"/>
                <w:bCs w:val="0"/>
                <w:color w:val="000000"/>
              </w:rPr>
              <w:tab/>
              <w:t>earned income disregard</w:t>
            </w:r>
          </w:p>
          <w:p w:rsidR="004E2D22" w:rsidRPr="001705C7" w:rsidRDefault="004E2D22" w:rsidP="00B45CEE">
            <w:pPr>
              <w:widowControl w:val="0"/>
              <w:tabs>
                <w:tab w:val="decimal" w:pos="2160"/>
              </w:tabs>
              <w:autoSpaceDE w:val="0"/>
              <w:autoSpaceDN w:val="0"/>
              <w:adjustRightInd w:val="0"/>
              <w:jc w:val="both"/>
              <w:rPr>
                <w:b w:val="0"/>
                <w:bCs w:val="0"/>
                <w:color w:val="000000"/>
              </w:rPr>
            </w:pPr>
            <w:r w:rsidRPr="001705C7">
              <w:rPr>
                <w:b w:val="0"/>
                <w:bCs w:val="0"/>
                <w:color w:val="000000"/>
              </w:rPr>
              <w:t>$200.00</w:t>
            </w:r>
          </w:p>
          <w:p w:rsidR="004E2D22" w:rsidRPr="001705C7" w:rsidRDefault="004E2D22" w:rsidP="00B45CEE">
            <w:pPr>
              <w:widowControl w:val="0"/>
              <w:tabs>
                <w:tab w:val="decimal" w:pos="2160"/>
              </w:tabs>
              <w:autoSpaceDE w:val="0"/>
              <w:autoSpaceDN w:val="0"/>
              <w:adjustRightInd w:val="0"/>
              <w:jc w:val="both"/>
              <w:rPr>
                <w:b w:val="0"/>
                <w:bCs w:val="0"/>
                <w:color w:val="000000"/>
              </w:rPr>
            </w:pPr>
            <w:r w:rsidRPr="001705C7">
              <w:rPr>
                <w:b w:val="0"/>
                <w:bCs w:val="0"/>
                <w:color w:val="000000"/>
                <w:u w:val="single"/>
              </w:rPr>
              <w:t>+1,500.00</w:t>
            </w:r>
            <w:r w:rsidRPr="001705C7">
              <w:rPr>
                <w:b w:val="0"/>
                <w:bCs w:val="0"/>
                <w:color w:val="000000"/>
              </w:rPr>
              <w:tab/>
              <w:t>unearned income</w:t>
            </w:r>
          </w:p>
          <w:p w:rsidR="004E2D22" w:rsidRPr="001705C7" w:rsidRDefault="004E2D22" w:rsidP="00B45CEE">
            <w:pPr>
              <w:widowControl w:val="0"/>
              <w:tabs>
                <w:tab w:val="decimal" w:pos="2160"/>
              </w:tabs>
              <w:autoSpaceDE w:val="0"/>
              <w:autoSpaceDN w:val="0"/>
              <w:adjustRightInd w:val="0"/>
              <w:jc w:val="both"/>
              <w:rPr>
                <w:b w:val="0"/>
                <w:bCs w:val="0"/>
                <w:color w:val="000000"/>
              </w:rPr>
            </w:pPr>
            <w:r w:rsidRPr="001705C7">
              <w:rPr>
                <w:b w:val="0"/>
                <w:bCs w:val="0"/>
                <w:color w:val="000000"/>
              </w:rPr>
              <w:t>$1,700.00</w:t>
            </w:r>
          </w:p>
          <w:p w:rsidR="004E2D22" w:rsidRPr="001705C7" w:rsidRDefault="004E2D22" w:rsidP="00B45CEE">
            <w:pPr>
              <w:widowControl w:val="0"/>
              <w:tabs>
                <w:tab w:val="decimal" w:pos="2160"/>
              </w:tabs>
              <w:autoSpaceDE w:val="0"/>
              <w:autoSpaceDN w:val="0"/>
              <w:adjustRightInd w:val="0"/>
              <w:jc w:val="both"/>
              <w:rPr>
                <w:b w:val="0"/>
                <w:bCs w:val="0"/>
                <w:color w:val="000000"/>
              </w:rPr>
            </w:pPr>
            <w:r w:rsidRPr="001705C7">
              <w:rPr>
                <w:b w:val="0"/>
                <w:bCs w:val="0"/>
                <w:color w:val="000000"/>
                <w:u w:val="single"/>
              </w:rPr>
              <w:t>-346.40</w:t>
            </w:r>
            <w:r w:rsidRPr="001705C7">
              <w:rPr>
                <w:b w:val="0"/>
                <w:bCs w:val="0"/>
                <w:color w:val="000000"/>
              </w:rPr>
              <w:tab/>
              <w:t xml:space="preserve">childcare deduction ($200 max. per child) </w:t>
            </w:r>
          </w:p>
          <w:p w:rsidR="004E2D22" w:rsidRPr="001705C7" w:rsidRDefault="004E2D22" w:rsidP="00B45CEE">
            <w:pPr>
              <w:widowControl w:val="0"/>
              <w:tabs>
                <w:tab w:val="decimal" w:pos="2160"/>
              </w:tabs>
              <w:autoSpaceDE w:val="0"/>
              <w:autoSpaceDN w:val="0"/>
              <w:adjustRightInd w:val="0"/>
              <w:jc w:val="both"/>
              <w:rPr>
                <w:b w:val="0"/>
                <w:bCs w:val="0"/>
              </w:rPr>
            </w:pPr>
            <w:r w:rsidRPr="001705C7">
              <w:rPr>
                <w:b w:val="0"/>
                <w:bCs w:val="0"/>
              </w:rPr>
              <w:t>$1,353.60</w:t>
            </w:r>
            <w:r w:rsidRPr="001705C7">
              <w:rPr>
                <w:b w:val="0"/>
                <w:bCs w:val="0"/>
              </w:rPr>
              <w:tab/>
              <w:t>monthly net income</w:t>
            </w:r>
          </w:p>
          <w:p w:rsidR="004E2D22" w:rsidRPr="001705C7" w:rsidRDefault="004E2D22" w:rsidP="00B45CEE">
            <w:pPr>
              <w:widowControl w:val="0"/>
              <w:autoSpaceDE w:val="0"/>
              <w:autoSpaceDN w:val="0"/>
              <w:adjustRightInd w:val="0"/>
              <w:jc w:val="both"/>
              <w:rPr>
                <w:b w:val="0"/>
                <w:bCs w:val="0"/>
              </w:rPr>
            </w:pPr>
          </w:p>
        </w:tc>
      </w:tr>
    </w:tbl>
    <w:p w:rsidR="004E2D22" w:rsidRPr="001705C7" w:rsidRDefault="004E2D22" w:rsidP="00B45CEE">
      <w:pPr>
        <w:pStyle w:val="BodyText"/>
        <w:widowControl w:val="0"/>
        <w:jc w:val="both"/>
      </w:pPr>
    </w:p>
    <w:p w:rsidR="004E2D22" w:rsidRPr="001705C7" w:rsidRDefault="004E2D22" w:rsidP="00B45CEE">
      <w:pPr>
        <w:pStyle w:val="ManualHeading1"/>
        <w:keepNext w:val="0"/>
        <w:widowControl w:val="0"/>
        <w:tabs>
          <w:tab w:val="clear" w:pos="10440"/>
          <w:tab w:val="right" w:pos="9360"/>
        </w:tabs>
        <w:rPr>
          <w:b/>
          <w:sz w:val="24"/>
        </w:rPr>
      </w:pPr>
      <w:bookmarkStart w:id="26" w:name="_Toc415824624"/>
      <w:bookmarkStart w:id="27" w:name="_Toc165693342"/>
      <w:r w:rsidRPr="001705C7">
        <w:rPr>
          <w:b/>
          <w:sz w:val="24"/>
        </w:rPr>
        <w:t>501.05</w:t>
      </w:r>
      <w:r w:rsidRPr="001705C7">
        <w:rPr>
          <w:b/>
          <w:sz w:val="24"/>
        </w:rPr>
        <w:tab/>
        <w:t>Effective Date of Application and Retroactive Coverage</w:t>
      </w:r>
      <w:bookmarkEnd w:id="26"/>
      <w:r w:rsidRPr="001705C7">
        <w:rPr>
          <w:b/>
          <w:sz w:val="24"/>
        </w:rPr>
        <w:t xml:space="preserve"> </w:t>
      </w:r>
      <w:bookmarkEnd w:id="27"/>
    </w:p>
    <w:p w:rsidR="004E2D22" w:rsidRPr="001705C7" w:rsidRDefault="004E2D22" w:rsidP="00B45CEE">
      <w:pPr>
        <w:widowControl w:val="0"/>
        <w:jc w:val="both"/>
        <w:rPr>
          <w:b w:val="0"/>
        </w:rPr>
      </w:pPr>
    </w:p>
    <w:p w:rsidR="004E2D22" w:rsidRPr="001705C7" w:rsidRDefault="004E2D22" w:rsidP="00B45CEE">
      <w:pPr>
        <w:pStyle w:val="BodyText3"/>
        <w:widowControl w:val="0"/>
      </w:pPr>
      <w:r w:rsidRPr="001705C7">
        <w:t>The effective date of the application is the date the application is received by DHH</w:t>
      </w:r>
      <w:r w:rsidR="00F235B7" w:rsidRPr="001705C7">
        <w:t>S. Eligibility can begin up to three (3)</w:t>
      </w:r>
      <w:r w:rsidRPr="001705C7">
        <w:t xml:space="preserve"> months before the effective date</w:t>
      </w:r>
      <w:r w:rsidR="00F51CEF" w:rsidRPr="001705C7">
        <w:t>.</w:t>
      </w:r>
      <w:r w:rsidR="00A8049B">
        <w:t xml:space="preserve"> Refer to MPPM 101.05 for additional information about Retroactive coverage.</w:t>
      </w:r>
    </w:p>
    <w:p w:rsidR="004E2D22" w:rsidRPr="001705C7" w:rsidRDefault="004E2D22" w:rsidP="00B45CEE">
      <w:pPr>
        <w:widowControl w:val="0"/>
        <w:ind w:right="-720"/>
        <w:rPr>
          <w:b w:val="0"/>
        </w:rPr>
      </w:pPr>
    </w:p>
    <w:p w:rsidR="00887C52" w:rsidRPr="001705C7" w:rsidRDefault="004E2D22" w:rsidP="00B45CEE">
      <w:pPr>
        <w:pStyle w:val="ManualHeading1"/>
        <w:keepNext w:val="0"/>
        <w:widowControl w:val="0"/>
        <w:tabs>
          <w:tab w:val="right" w:pos="9360"/>
        </w:tabs>
        <w:rPr>
          <w:b/>
          <w:bCs/>
          <w:sz w:val="24"/>
        </w:rPr>
      </w:pPr>
      <w:bookmarkStart w:id="28" w:name="_Toc415824625"/>
      <w:bookmarkStart w:id="29" w:name="_Toc165693343"/>
      <w:r w:rsidRPr="001705C7">
        <w:rPr>
          <w:b/>
          <w:sz w:val="24"/>
        </w:rPr>
        <w:t>501.06</w:t>
      </w:r>
      <w:r w:rsidRPr="001705C7">
        <w:rPr>
          <w:b/>
          <w:sz w:val="24"/>
        </w:rPr>
        <w:tab/>
        <w:t xml:space="preserve">Eligibility </w:t>
      </w:r>
      <w:r w:rsidR="00B56260" w:rsidRPr="001705C7">
        <w:rPr>
          <w:b/>
          <w:sz w:val="24"/>
        </w:rPr>
        <w:t>Review</w:t>
      </w:r>
      <w:bookmarkEnd w:id="28"/>
      <w:r w:rsidRPr="001705C7">
        <w:rPr>
          <w:b/>
          <w:sz w:val="24"/>
        </w:rPr>
        <w:tab/>
      </w:r>
      <w:bookmarkEnd w:id="29"/>
    </w:p>
    <w:p w:rsidR="00887C52" w:rsidRPr="00B45CEE" w:rsidRDefault="00B45CEE" w:rsidP="00B45CEE">
      <w:pPr>
        <w:widowControl w:val="0"/>
        <w:jc w:val="right"/>
        <w:rPr>
          <w:b w:val="0"/>
          <w:sz w:val="16"/>
        </w:rPr>
      </w:pPr>
      <w:r>
        <w:rPr>
          <w:b w:val="0"/>
          <w:sz w:val="16"/>
        </w:rPr>
        <w:t>(Rev. 04/01/15)</w:t>
      </w:r>
    </w:p>
    <w:p w:rsidR="00B45CEE" w:rsidRPr="00B45CEE" w:rsidRDefault="00B45CEE" w:rsidP="00B45CEE">
      <w:pPr>
        <w:widowControl w:val="0"/>
        <w:ind w:right="-720"/>
        <w:jc w:val="both"/>
        <w:rPr>
          <w:b w:val="0"/>
          <w:bCs w:val="0"/>
        </w:rPr>
      </w:pPr>
      <w:r w:rsidRPr="00B45CEE">
        <w:rPr>
          <w:b w:val="0"/>
          <w:bCs w:val="0"/>
        </w:rPr>
        <w:t xml:space="preserve">Eligibility is reviewed annually for beneficiaries with breast cancer, cervical cancer, and is reviewed every six (6) months for pre-cancerous lesions (CIN 2/3 or atypical hyperplasia). Coverage continues as long as the eligibility criteria is </w:t>
      </w:r>
      <w:proofErr w:type="gramStart"/>
      <w:r w:rsidRPr="00B45CEE">
        <w:rPr>
          <w:b w:val="0"/>
          <w:bCs w:val="0"/>
        </w:rPr>
        <w:t>met</w:t>
      </w:r>
      <w:proofErr w:type="gramEnd"/>
      <w:r w:rsidRPr="00B45CEE">
        <w:rPr>
          <w:b w:val="0"/>
          <w:bCs w:val="0"/>
        </w:rPr>
        <w:t xml:space="preserve"> and the beneficiary is receiving treatment. Once a year, a review form is mailed to the beneficiary and must be returned for coverage to continue.</w:t>
      </w:r>
    </w:p>
    <w:p w:rsidR="00B45CEE" w:rsidRPr="00B45CEE" w:rsidRDefault="00B45CEE" w:rsidP="00B45CEE">
      <w:pPr>
        <w:widowControl w:val="0"/>
        <w:ind w:right="-720"/>
        <w:jc w:val="both"/>
        <w:rPr>
          <w:b w:val="0"/>
          <w:bCs w:val="0"/>
        </w:rPr>
      </w:pPr>
    </w:p>
    <w:p w:rsidR="004E2D22" w:rsidRDefault="00B45CEE" w:rsidP="00B45CEE">
      <w:pPr>
        <w:widowControl w:val="0"/>
        <w:ind w:right="-720"/>
        <w:jc w:val="both"/>
        <w:rPr>
          <w:b w:val="0"/>
          <w:bCs w:val="0"/>
        </w:rPr>
      </w:pPr>
      <w:r w:rsidRPr="00B45CEE">
        <w:rPr>
          <w:b w:val="0"/>
          <w:bCs w:val="0"/>
        </w:rPr>
        <w:t>Hormonal cancer therapy is limited to a five (5) year course of treatment. However, if a recipient’s hormonal therapy treatment has been extended beyond five years, the worker should complete a review, attain documentation indicating therapy has been extended, and verify the beneficiary remains in treatment. Once this information is verified, BCCP coverage can continue. If a case was closed due to the five-year limitation, the case may be reopened.</w:t>
      </w:r>
    </w:p>
    <w:p w:rsidR="00B45CEE" w:rsidRPr="001705C7" w:rsidRDefault="00B45CEE" w:rsidP="00B45CEE">
      <w:pPr>
        <w:widowControl w:val="0"/>
        <w:ind w:right="-720"/>
        <w:jc w:val="both"/>
        <w:rPr>
          <w:b w:val="0"/>
        </w:rPr>
      </w:pPr>
    </w:p>
    <w:p w:rsidR="004E2D22" w:rsidRPr="001705C7" w:rsidRDefault="004E2D22" w:rsidP="00B45CEE">
      <w:pPr>
        <w:pStyle w:val="ManualHeading1"/>
        <w:keepNext w:val="0"/>
        <w:widowControl w:val="0"/>
        <w:tabs>
          <w:tab w:val="clear" w:pos="10440"/>
          <w:tab w:val="right" w:pos="9360"/>
        </w:tabs>
        <w:rPr>
          <w:b/>
          <w:sz w:val="24"/>
        </w:rPr>
      </w:pPr>
      <w:bookmarkStart w:id="30" w:name="_Toc415824626"/>
      <w:bookmarkStart w:id="31" w:name="_Toc165693344"/>
      <w:r w:rsidRPr="001705C7">
        <w:rPr>
          <w:b/>
          <w:sz w:val="24"/>
        </w:rPr>
        <w:t>501.07</w:t>
      </w:r>
      <w:r w:rsidRPr="001705C7">
        <w:rPr>
          <w:b/>
          <w:sz w:val="24"/>
        </w:rPr>
        <w:tab/>
        <w:t>Termination of Coverage</w:t>
      </w:r>
      <w:bookmarkEnd w:id="30"/>
      <w:r w:rsidRPr="001705C7">
        <w:rPr>
          <w:b/>
          <w:sz w:val="24"/>
        </w:rPr>
        <w:tab/>
      </w:r>
      <w:bookmarkEnd w:id="31"/>
    </w:p>
    <w:p w:rsidR="004E2D22" w:rsidRPr="001705C7" w:rsidRDefault="004E2D22" w:rsidP="00B45CEE">
      <w:pPr>
        <w:pStyle w:val="BodyText3"/>
        <w:widowControl w:val="0"/>
      </w:pPr>
    </w:p>
    <w:p w:rsidR="004E2D22" w:rsidRPr="001705C7" w:rsidRDefault="004E2D22" w:rsidP="00B45CEE">
      <w:pPr>
        <w:pStyle w:val="BodyText3"/>
        <w:widowControl w:val="0"/>
      </w:pPr>
      <w:r w:rsidRPr="001705C7">
        <w:t xml:space="preserve">Eligibility for coverage under the BCCP </w:t>
      </w:r>
      <w:r w:rsidR="00527983" w:rsidRPr="001705C7">
        <w:t>must</w:t>
      </w:r>
      <w:r w:rsidRPr="001705C7">
        <w:t xml:space="preserve"> be terminated for the following reasons:</w:t>
      </w:r>
    </w:p>
    <w:p w:rsidR="004E2D22" w:rsidRPr="001705C7" w:rsidRDefault="004E2D22" w:rsidP="00B45CEE">
      <w:pPr>
        <w:widowControl w:val="0"/>
        <w:tabs>
          <w:tab w:val="left" w:pos="900"/>
        </w:tabs>
        <w:ind w:left="900"/>
        <w:jc w:val="both"/>
        <w:rPr>
          <w:b w:val="0"/>
        </w:rPr>
      </w:pPr>
    </w:p>
    <w:p w:rsidR="004E2D22" w:rsidRPr="001705C7" w:rsidRDefault="004E2D22" w:rsidP="00B45CEE">
      <w:pPr>
        <w:widowControl w:val="0"/>
        <w:numPr>
          <w:ilvl w:val="0"/>
          <w:numId w:val="3"/>
        </w:numPr>
        <w:tabs>
          <w:tab w:val="clear" w:pos="1620"/>
        </w:tabs>
        <w:ind w:left="720"/>
        <w:jc w:val="both"/>
        <w:rPr>
          <w:b w:val="0"/>
        </w:rPr>
      </w:pPr>
      <w:r w:rsidRPr="001705C7">
        <w:rPr>
          <w:b w:val="0"/>
        </w:rPr>
        <w:t>The beneficiary’s course of treatment is completed. DHHS must be notified within 10 days after treatment ends.</w:t>
      </w:r>
    </w:p>
    <w:p w:rsidR="004E2D22" w:rsidRPr="001705C7" w:rsidRDefault="004E2D22" w:rsidP="00B45CEE">
      <w:pPr>
        <w:widowControl w:val="0"/>
        <w:numPr>
          <w:ilvl w:val="0"/>
          <w:numId w:val="3"/>
        </w:numPr>
        <w:tabs>
          <w:tab w:val="clear" w:pos="1620"/>
        </w:tabs>
        <w:ind w:left="720"/>
        <w:jc w:val="both"/>
        <w:rPr>
          <w:b w:val="0"/>
        </w:rPr>
      </w:pPr>
      <w:r w:rsidRPr="001705C7">
        <w:rPr>
          <w:b w:val="0"/>
        </w:rPr>
        <w:t>The beneficiary has completed five (5) years of hormonal cancer therapy for breast cancer.</w:t>
      </w:r>
    </w:p>
    <w:p w:rsidR="004E2D22" w:rsidRPr="001705C7" w:rsidRDefault="004E2D22" w:rsidP="00B45CEE">
      <w:pPr>
        <w:widowControl w:val="0"/>
        <w:numPr>
          <w:ilvl w:val="0"/>
          <w:numId w:val="3"/>
        </w:numPr>
        <w:tabs>
          <w:tab w:val="clear" w:pos="1620"/>
        </w:tabs>
        <w:ind w:left="720"/>
        <w:jc w:val="both"/>
        <w:rPr>
          <w:b w:val="0"/>
        </w:rPr>
      </w:pPr>
      <w:r w:rsidRPr="001705C7">
        <w:rPr>
          <w:b w:val="0"/>
        </w:rPr>
        <w:t xml:space="preserve">The beneficiary is no longer receiving treatment for </w:t>
      </w:r>
      <w:r w:rsidR="00727FA2" w:rsidRPr="001705C7">
        <w:rPr>
          <w:b w:val="0"/>
        </w:rPr>
        <w:t xml:space="preserve">breast cancer </w:t>
      </w:r>
      <w:r w:rsidRPr="001705C7">
        <w:rPr>
          <w:b w:val="0"/>
        </w:rPr>
        <w:t>or cervical cancer.</w:t>
      </w:r>
    </w:p>
    <w:p w:rsidR="004E2D22" w:rsidRPr="001705C7" w:rsidRDefault="004E2D22" w:rsidP="00B45CEE">
      <w:pPr>
        <w:widowControl w:val="0"/>
        <w:numPr>
          <w:ilvl w:val="0"/>
          <w:numId w:val="3"/>
        </w:numPr>
        <w:tabs>
          <w:tab w:val="clear" w:pos="1620"/>
        </w:tabs>
        <w:ind w:left="720"/>
        <w:jc w:val="both"/>
        <w:rPr>
          <w:b w:val="0"/>
        </w:rPr>
      </w:pPr>
      <w:r w:rsidRPr="001705C7">
        <w:rPr>
          <w:b w:val="0"/>
        </w:rPr>
        <w:t>The beneficiary requests termination.</w:t>
      </w:r>
    </w:p>
    <w:p w:rsidR="004E2D22" w:rsidRPr="001705C7" w:rsidRDefault="004E2D22" w:rsidP="00B45CEE">
      <w:pPr>
        <w:widowControl w:val="0"/>
        <w:numPr>
          <w:ilvl w:val="0"/>
          <w:numId w:val="3"/>
        </w:numPr>
        <w:tabs>
          <w:tab w:val="clear" w:pos="1620"/>
        </w:tabs>
        <w:ind w:left="720"/>
        <w:jc w:val="both"/>
        <w:rPr>
          <w:b w:val="0"/>
        </w:rPr>
      </w:pPr>
      <w:r w:rsidRPr="001705C7">
        <w:rPr>
          <w:b w:val="0"/>
        </w:rPr>
        <w:t>The beneficiary reaches age 65</w:t>
      </w:r>
      <w:r w:rsidR="009974C4" w:rsidRPr="001705C7">
        <w:rPr>
          <w:b w:val="0"/>
        </w:rPr>
        <w:t>.</w:t>
      </w:r>
      <w:r w:rsidRPr="001705C7">
        <w:rPr>
          <w:b w:val="0"/>
        </w:rPr>
        <w:t xml:space="preserve"> (</w:t>
      </w:r>
      <w:r w:rsidR="009974C4" w:rsidRPr="001705C7">
        <w:rPr>
          <w:b w:val="0"/>
        </w:rPr>
        <w:t xml:space="preserve">Coverage </w:t>
      </w:r>
      <w:r w:rsidRPr="001705C7">
        <w:rPr>
          <w:b w:val="0"/>
        </w:rPr>
        <w:t xml:space="preserve">terminates at the end of the month </w:t>
      </w:r>
      <w:r w:rsidR="00C1075B" w:rsidRPr="001705C7">
        <w:rPr>
          <w:b w:val="0"/>
        </w:rPr>
        <w:t>in which their</w:t>
      </w:r>
      <w:r w:rsidRPr="001705C7">
        <w:rPr>
          <w:b w:val="0"/>
        </w:rPr>
        <w:t xml:space="preserve"> 65</w:t>
      </w:r>
      <w:r w:rsidRPr="001705C7">
        <w:rPr>
          <w:b w:val="0"/>
          <w:vertAlign w:val="superscript"/>
        </w:rPr>
        <w:t>th</w:t>
      </w:r>
      <w:r w:rsidRPr="001705C7">
        <w:rPr>
          <w:b w:val="0"/>
        </w:rPr>
        <w:t xml:space="preserve"> birthday</w:t>
      </w:r>
      <w:r w:rsidR="00C1075B" w:rsidRPr="001705C7">
        <w:rPr>
          <w:b w:val="0"/>
        </w:rPr>
        <w:t xml:space="preserve"> occurs</w:t>
      </w:r>
      <w:r w:rsidR="009974C4" w:rsidRPr="001705C7">
        <w:rPr>
          <w:b w:val="0"/>
        </w:rPr>
        <w:t>.</w:t>
      </w:r>
      <w:r w:rsidRPr="001705C7">
        <w:rPr>
          <w:b w:val="0"/>
        </w:rPr>
        <w:t>)</w:t>
      </w:r>
    </w:p>
    <w:p w:rsidR="004E2D22" w:rsidRPr="001705C7" w:rsidRDefault="004E2D22" w:rsidP="00B45CEE">
      <w:pPr>
        <w:widowControl w:val="0"/>
        <w:numPr>
          <w:ilvl w:val="0"/>
          <w:numId w:val="3"/>
        </w:numPr>
        <w:tabs>
          <w:tab w:val="clear" w:pos="1620"/>
        </w:tabs>
        <w:ind w:left="720"/>
        <w:jc w:val="both"/>
        <w:rPr>
          <w:b w:val="0"/>
        </w:rPr>
      </w:pPr>
      <w:r w:rsidRPr="001705C7">
        <w:rPr>
          <w:b w:val="0"/>
        </w:rPr>
        <w:t>The beneficiary dies.</w:t>
      </w:r>
    </w:p>
    <w:p w:rsidR="004E2D22" w:rsidRPr="001705C7" w:rsidRDefault="004E2D22" w:rsidP="00B45CEE">
      <w:pPr>
        <w:widowControl w:val="0"/>
        <w:numPr>
          <w:ilvl w:val="0"/>
          <w:numId w:val="3"/>
        </w:numPr>
        <w:tabs>
          <w:tab w:val="clear" w:pos="1620"/>
        </w:tabs>
        <w:ind w:left="720"/>
        <w:jc w:val="both"/>
        <w:rPr>
          <w:b w:val="0"/>
        </w:rPr>
      </w:pPr>
      <w:r w:rsidRPr="001705C7">
        <w:rPr>
          <w:b w:val="0"/>
        </w:rPr>
        <w:t>The beneficiary becomes eligible for Medicare.</w:t>
      </w:r>
    </w:p>
    <w:p w:rsidR="004E2D22" w:rsidRPr="001705C7" w:rsidRDefault="004E2D22" w:rsidP="00B45CEE">
      <w:pPr>
        <w:widowControl w:val="0"/>
        <w:numPr>
          <w:ilvl w:val="0"/>
          <w:numId w:val="3"/>
        </w:numPr>
        <w:tabs>
          <w:tab w:val="clear" w:pos="1620"/>
        </w:tabs>
        <w:ind w:left="720"/>
        <w:jc w:val="both"/>
        <w:rPr>
          <w:b w:val="0"/>
        </w:rPr>
      </w:pPr>
      <w:r w:rsidRPr="001705C7">
        <w:rPr>
          <w:b w:val="0"/>
        </w:rPr>
        <w:t>The beneficiary becomes eligible for a mandatory Medicaid program</w:t>
      </w:r>
      <w:r w:rsidR="00727FA2" w:rsidRPr="001705C7">
        <w:rPr>
          <w:b w:val="0"/>
        </w:rPr>
        <w:t>, in which case t</w:t>
      </w:r>
      <w:r w:rsidRPr="001705C7">
        <w:rPr>
          <w:b w:val="0"/>
        </w:rPr>
        <w:t>he eligibility category must be changed to the new coverage group.</w:t>
      </w:r>
    </w:p>
    <w:p w:rsidR="004E2D22" w:rsidRPr="001705C7" w:rsidRDefault="004E2D22" w:rsidP="00B45CEE">
      <w:pPr>
        <w:widowControl w:val="0"/>
        <w:numPr>
          <w:ilvl w:val="0"/>
          <w:numId w:val="3"/>
        </w:numPr>
        <w:tabs>
          <w:tab w:val="clear" w:pos="1620"/>
        </w:tabs>
        <w:ind w:left="720"/>
        <w:jc w:val="both"/>
        <w:rPr>
          <w:b w:val="0"/>
        </w:rPr>
      </w:pPr>
      <w:r w:rsidRPr="001705C7">
        <w:rPr>
          <w:b w:val="0"/>
        </w:rPr>
        <w:t xml:space="preserve">The beneficiary moves </w:t>
      </w:r>
      <w:r w:rsidR="00727FA2" w:rsidRPr="001705C7">
        <w:rPr>
          <w:b w:val="0"/>
        </w:rPr>
        <w:t>to another</w:t>
      </w:r>
      <w:r w:rsidRPr="001705C7">
        <w:rPr>
          <w:b w:val="0"/>
        </w:rPr>
        <w:t xml:space="preserve"> state.</w:t>
      </w:r>
    </w:p>
    <w:p w:rsidR="004E2D22" w:rsidRPr="001705C7" w:rsidRDefault="004E2D22" w:rsidP="00B45CEE">
      <w:pPr>
        <w:widowControl w:val="0"/>
        <w:numPr>
          <w:ilvl w:val="0"/>
          <w:numId w:val="3"/>
        </w:numPr>
        <w:tabs>
          <w:tab w:val="clear" w:pos="1620"/>
        </w:tabs>
        <w:ind w:left="720"/>
        <w:jc w:val="both"/>
        <w:rPr>
          <w:b w:val="0"/>
        </w:rPr>
      </w:pPr>
      <w:r w:rsidRPr="001705C7">
        <w:rPr>
          <w:b w:val="0"/>
        </w:rPr>
        <w:t>The beneficiary fails to complete the re-determination process.</w:t>
      </w:r>
    </w:p>
    <w:p w:rsidR="004E2D22" w:rsidRPr="001705C7" w:rsidRDefault="004E2D22" w:rsidP="00B45CEE">
      <w:pPr>
        <w:widowControl w:val="0"/>
        <w:numPr>
          <w:ilvl w:val="0"/>
          <w:numId w:val="3"/>
        </w:numPr>
        <w:tabs>
          <w:tab w:val="clear" w:pos="1620"/>
        </w:tabs>
        <w:ind w:left="720"/>
        <w:jc w:val="both"/>
        <w:rPr>
          <w:b w:val="0"/>
        </w:rPr>
      </w:pPr>
      <w:r w:rsidRPr="001705C7">
        <w:rPr>
          <w:b w:val="0"/>
        </w:rPr>
        <w:t>The beneficiary becomes covered under creditable insurance.</w:t>
      </w:r>
    </w:p>
    <w:p w:rsidR="004E2D22" w:rsidRPr="001705C7" w:rsidRDefault="004E2D22" w:rsidP="00B45CEE">
      <w:pPr>
        <w:widowControl w:val="0"/>
        <w:numPr>
          <w:ilvl w:val="0"/>
          <w:numId w:val="3"/>
        </w:numPr>
        <w:tabs>
          <w:tab w:val="clear" w:pos="1620"/>
        </w:tabs>
        <w:ind w:left="720"/>
        <w:jc w:val="both"/>
        <w:rPr>
          <w:b w:val="0"/>
        </w:rPr>
      </w:pPr>
      <w:r w:rsidRPr="001705C7">
        <w:rPr>
          <w:b w:val="0"/>
        </w:rPr>
        <w:t xml:space="preserve">The beneficiary does not meet one of the eligibility requirements listed in MPPM </w:t>
      </w:r>
      <w:hyperlink w:anchor="MPPM_501_03" w:history="1">
        <w:r w:rsidRPr="001705C7">
          <w:rPr>
            <w:rStyle w:val="Hyperlink"/>
            <w:b w:val="0"/>
          </w:rPr>
          <w:t>501.03</w:t>
        </w:r>
      </w:hyperlink>
      <w:r w:rsidRPr="001705C7">
        <w:rPr>
          <w:b w:val="0"/>
        </w:rPr>
        <w:t>.</w:t>
      </w:r>
    </w:p>
    <w:p w:rsidR="004E2D22" w:rsidRPr="001705C7" w:rsidRDefault="004E2D22" w:rsidP="00B45CEE">
      <w:pPr>
        <w:widowControl w:val="0"/>
        <w:tabs>
          <w:tab w:val="left" w:pos="900"/>
        </w:tabs>
        <w:jc w:val="both"/>
        <w:rPr>
          <w:b w:val="0"/>
        </w:rPr>
      </w:pPr>
    </w:p>
    <w:p w:rsidR="00834B59" w:rsidRPr="001705C7" w:rsidRDefault="004E2D22" w:rsidP="00B45CEE">
      <w:pPr>
        <w:pStyle w:val="BodyText"/>
        <w:widowControl w:val="0"/>
        <w:jc w:val="both"/>
      </w:pPr>
      <w:r w:rsidRPr="001705C7">
        <w:t>An ex parte determination must be made to determine if the beneficiary qualifies for coverage under another program. A 10-day advance notice must be provided before eligibility is terminated.</w:t>
      </w:r>
    </w:p>
    <w:p w:rsidR="001705C7" w:rsidRPr="001705C7" w:rsidRDefault="00C16A10" w:rsidP="001705C7">
      <w:pPr>
        <w:pStyle w:val="DefaultText"/>
        <w:jc w:val="right"/>
        <w:rPr>
          <w:rFonts w:ascii="Arial" w:hAnsi="Arial" w:cs="Arial"/>
          <w:color w:val="0000FF"/>
          <w:szCs w:val="24"/>
          <w:u w:val="single"/>
        </w:rPr>
      </w:pPr>
      <w:hyperlink w:anchor="_top" w:history="1">
        <w:r w:rsidR="00834B59" w:rsidRPr="001705C7">
          <w:rPr>
            <w:rStyle w:val="Hyperlink"/>
            <w:rFonts w:ascii="Arial" w:hAnsi="Arial" w:cs="Arial"/>
            <w:szCs w:val="24"/>
          </w:rPr>
          <w:t>Table</w:t>
        </w:r>
        <w:r w:rsidR="00BB320C" w:rsidRPr="001705C7">
          <w:rPr>
            <w:rStyle w:val="Hyperlink"/>
            <w:rFonts w:ascii="Arial" w:hAnsi="Arial" w:cs="Arial"/>
            <w:szCs w:val="24"/>
          </w:rPr>
          <w:t xml:space="preserve"> </w:t>
        </w:r>
        <w:r w:rsidR="00834B59" w:rsidRPr="001705C7">
          <w:rPr>
            <w:rStyle w:val="Hyperlink"/>
            <w:rFonts w:ascii="Arial" w:hAnsi="Arial" w:cs="Arial"/>
            <w:szCs w:val="24"/>
          </w:rPr>
          <w:t>of</w:t>
        </w:r>
        <w:r w:rsidR="00BB320C" w:rsidRPr="001705C7">
          <w:rPr>
            <w:rStyle w:val="Hyperlink"/>
            <w:rFonts w:ascii="Arial" w:hAnsi="Arial" w:cs="Arial"/>
            <w:szCs w:val="24"/>
          </w:rPr>
          <w:t xml:space="preserve"> </w:t>
        </w:r>
        <w:r w:rsidR="00834B59" w:rsidRPr="001705C7">
          <w:rPr>
            <w:rStyle w:val="Hyperlink"/>
            <w:rFonts w:ascii="Arial" w:hAnsi="Arial" w:cs="Arial"/>
            <w:szCs w:val="24"/>
          </w:rPr>
          <w:t>Contents</w:t>
        </w:r>
      </w:hyperlink>
    </w:p>
    <w:sectPr w:rsidR="001705C7" w:rsidRPr="001705C7">
      <w:headerReference w:type="default" r:id="rId18"/>
      <w:footerReference w:type="default" r:id="rId19"/>
      <w:pgSz w:w="12240" w:h="15840"/>
      <w:pgMar w:top="2736"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CE8" w:rsidRDefault="00BE4CE8">
      <w:r>
        <w:separator/>
      </w:r>
    </w:p>
  </w:endnote>
  <w:endnote w:type="continuationSeparator" w:id="0">
    <w:p w:rsidR="00BE4CE8" w:rsidRDefault="00BE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44B" w:rsidRDefault="002A730F">
    <w:pPr>
      <w:pStyle w:val="Footer"/>
    </w:pPr>
    <w:r>
      <w:rPr>
        <w:b w:val="0"/>
        <w:sz w:val="20"/>
        <w:szCs w:val="20"/>
      </w:rPr>
      <w:t>Version</w:t>
    </w:r>
    <w:r w:rsidRPr="008C7741">
      <w:rPr>
        <w:b w:val="0"/>
        <w:sz w:val="20"/>
        <w:szCs w:val="20"/>
      </w:rPr>
      <w:t xml:space="preserve"> Month: </w:t>
    </w:r>
    <w:r w:rsidR="00E02D79">
      <w:rPr>
        <w:b w:val="0"/>
        <w:sz w:val="20"/>
        <w:szCs w:val="20"/>
      </w:rPr>
      <w:t>March</w:t>
    </w:r>
    <w:r w:rsidR="0029744B">
      <w:rPr>
        <w:b w:val="0"/>
        <w:sz w:val="20"/>
        <w:szCs w:val="20"/>
      </w:rPr>
      <w:t xml:space="preserve"> 201</w:t>
    </w:r>
    <w:r w:rsidR="00E02D79">
      <w:rPr>
        <w:b w:val="0"/>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CE8" w:rsidRDefault="00BE4CE8">
      <w:r>
        <w:separator/>
      </w:r>
    </w:p>
  </w:footnote>
  <w:footnote w:type="continuationSeparator" w:id="0">
    <w:p w:rsidR="00BE4CE8" w:rsidRDefault="00BE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30F" w:rsidRDefault="002A730F">
    <w:pPr>
      <w:pStyle w:val="Header"/>
      <w:tabs>
        <w:tab w:val="clear" w:pos="4320"/>
      </w:tabs>
      <w:jc w:val="center"/>
      <w:rPr>
        <w:b w:val="0"/>
        <w:bCs w:val="0"/>
      </w:rPr>
    </w:pPr>
    <w:r>
      <w:rPr>
        <w:b w:val="0"/>
        <w:bCs w:val="0"/>
      </w:rPr>
      <w:t>SOUTH CAROLINA DEPARTMENT OF HEALTH AND HUMAN SERVICES</w:t>
    </w:r>
  </w:p>
  <w:p w:rsidR="002A730F" w:rsidRDefault="002A730F">
    <w:pPr>
      <w:pStyle w:val="Header"/>
      <w:tabs>
        <w:tab w:val="clear" w:pos="4320"/>
      </w:tabs>
      <w:jc w:val="center"/>
      <w:rPr>
        <w:bCs w:val="0"/>
        <w:sz w:val="28"/>
      </w:rPr>
    </w:pPr>
    <w:r>
      <w:rPr>
        <w:bCs w:val="0"/>
        <w:sz w:val="28"/>
      </w:rPr>
      <w:t>MEDICAID POLICY AND PROCEDURES MANUAL</w:t>
    </w:r>
  </w:p>
  <w:p w:rsidR="002A730F" w:rsidRDefault="002A730F">
    <w:pPr>
      <w:pStyle w:val="Header"/>
      <w:tabs>
        <w:tab w:val="clear" w:pos="4320"/>
        <w:tab w:val="left" w:pos="2130"/>
      </w:tabs>
    </w:pPr>
    <w:r>
      <w:tab/>
    </w:r>
  </w:p>
  <w:p w:rsidR="002A730F" w:rsidRDefault="001705C7">
    <w:pPr>
      <w:pStyle w:val="Header"/>
      <w:tabs>
        <w:tab w:val="clear" w:pos="4320"/>
      </w:tabs>
    </w:pPr>
    <w:r>
      <w:t>CHAPTER 50</w:t>
    </w:r>
    <w:r w:rsidR="000C5BE4">
      <w:t>1</w:t>
    </w:r>
    <w:r w:rsidR="002A730F">
      <w:t xml:space="preserve"> – </w:t>
    </w:r>
    <w:r w:rsidR="000C5BE4">
      <w:t>Breast and Cervical Cancer Program</w:t>
    </w:r>
  </w:p>
  <w:p w:rsidR="002A730F" w:rsidRDefault="002A730F">
    <w:pPr>
      <w:pStyle w:val="Header"/>
      <w:tabs>
        <w:tab w:val="clear" w:pos="4320"/>
      </w:tabs>
      <w:rPr>
        <w:b w:val="0"/>
      </w:rPr>
    </w:pPr>
  </w:p>
  <w:p w:rsidR="002A730F" w:rsidRDefault="002A730F">
    <w:pPr>
      <w:pStyle w:val="Header"/>
      <w:pBdr>
        <w:bottom w:val="single" w:sz="4" w:space="1" w:color="auto"/>
      </w:pBdr>
      <w:tabs>
        <w:tab w:val="clear" w:pos="4320"/>
        <w:tab w:val="clear" w:pos="8640"/>
        <w:tab w:val="right" w:pos="9360"/>
      </w:tabs>
      <w:rPr>
        <w:rStyle w:val="PageNumber"/>
        <w:b w:val="0"/>
      </w:rPr>
    </w:pPr>
    <w:r>
      <w:rPr>
        <w:b w:val="0"/>
      </w:rPr>
      <w:tab/>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B45CEE">
      <w:rPr>
        <w:rStyle w:val="PageNumber"/>
        <w:b w:val="0"/>
        <w:noProof/>
      </w:rPr>
      <w:t>1</w:t>
    </w:r>
    <w:r>
      <w:rPr>
        <w:rStyle w:val="PageNumber"/>
        <w:b w:val="0"/>
      </w:rPr>
      <w:fldChar w:fldCharType="end"/>
    </w:r>
  </w:p>
  <w:p w:rsidR="002A730F" w:rsidRDefault="002A730F">
    <w:pPr>
      <w:pStyle w:val="Header"/>
      <w:pBdr>
        <w:top w:val="single" w:sz="4" w:space="1" w:color="auto"/>
      </w:pBdr>
      <w:tabs>
        <w:tab w:val="clear" w:pos="4320"/>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1C99"/>
    <w:multiLevelType w:val="hybridMultilevel"/>
    <w:tmpl w:val="C65EB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56C23"/>
    <w:multiLevelType w:val="hybridMultilevel"/>
    <w:tmpl w:val="8640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5649C"/>
    <w:multiLevelType w:val="hybridMultilevel"/>
    <w:tmpl w:val="E440FDEA"/>
    <w:lvl w:ilvl="0" w:tplc="1EF2813C">
      <w:start w:val="1"/>
      <w:numFmt w:val="bullet"/>
      <w:lvlText w:val=""/>
      <w:lvlJc w:val="left"/>
      <w:pPr>
        <w:tabs>
          <w:tab w:val="num" w:pos="1620"/>
        </w:tabs>
        <w:ind w:left="1620" w:hanging="360"/>
      </w:pPr>
      <w:rPr>
        <w:rFonts w:ascii="Symbol" w:hAnsi="Symbol" w:hint="default"/>
      </w:rPr>
    </w:lvl>
    <w:lvl w:ilvl="1" w:tplc="41A0FA12" w:tentative="1">
      <w:start w:val="1"/>
      <w:numFmt w:val="bullet"/>
      <w:lvlText w:val="o"/>
      <w:lvlJc w:val="left"/>
      <w:pPr>
        <w:tabs>
          <w:tab w:val="num" w:pos="2340"/>
        </w:tabs>
        <w:ind w:left="2340" w:hanging="360"/>
      </w:pPr>
      <w:rPr>
        <w:rFonts w:ascii="Courier New" w:hAnsi="Courier New" w:hint="default"/>
      </w:rPr>
    </w:lvl>
    <w:lvl w:ilvl="2" w:tplc="16681D26" w:tentative="1">
      <w:start w:val="1"/>
      <w:numFmt w:val="bullet"/>
      <w:lvlText w:val=""/>
      <w:lvlJc w:val="left"/>
      <w:pPr>
        <w:tabs>
          <w:tab w:val="num" w:pos="3060"/>
        </w:tabs>
        <w:ind w:left="3060" w:hanging="360"/>
      </w:pPr>
      <w:rPr>
        <w:rFonts w:ascii="Wingdings" w:hAnsi="Wingdings" w:hint="default"/>
      </w:rPr>
    </w:lvl>
    <w:lvl w:ilvl="3" w:tplc="9CEA637A" w:tentative="1">
      <w:start w:val="1"/>
      <w:numFmt w:val="bullet"/>
      <w:lvlText w:val=""/>
      <w:lvlJc w:val="left"/>
      <w:pPr>
        <w:tabs>
          <w:tab w:val="num" w:pos="3780"/>
        </w:tabs>
        <w:ind w:left="3780" w:hanging="360"/>
      </w:pPr>
      <w:rPr>
        <w:rFonts w:ascii="Symbol" w:hAnsi="Symbol" w:hint="default"/>
      </w:rPr>
    </w:lvl>
    <w:lvl w:ilvl="4" w:tplc="A978CC7E" w:tentative="1">
      <w:start w:val="1"/>
      <w:numFmt w:val="bullet"/>
      <w:lvlText w:val="o"/>
      <w:lvlJc w:val="left"/>
      <w:pPr>
        <w:tabs>
          <w:tab w:val="num" w:pos="4500"/>
        </w:tabs>
        <w:ind w:left="4500" w:hanging="360"/>
      </w:pPr>
      <w:rPr>
        <w:rFonts w:ascii="Courier New" w:hAnsi="Courier New" w:hint="default"/>
      </w:rPr>
    </w:lvl>
    <w:lvl w:ilvl="5" w:tplc="B60A4558" w:tentative="1">
      <w:start w:val="1"/>
      <w:numFmt w:val="bullet"/>
      <w:lvlText w:val=""/>
      <w:lvlJc w:val="left"/>
      <w:pPr>
        <w:tabs>
          <w:tab w:val="num" w:pos="5220"/>
        </w:tabs>
        <w:ind w:left="5220" w:hanging="360"/>
      </w:pPr>
      <w:rPr>
        <w:rFonts w:ascii="Wingdings" w:hAnsi="Wingdings" w:hint="default"/>
      </w:rPr>
    </w:lvl>
    <w:lvl w:ilvl="6" w:tplc="BA200178" w:tentative="1">
      <w:start w:val="1"/>
      <w:numFmt w:val="bullet"/>
      <w:lvlText w:val=""/>
      <w:lvlJc w:val="left"/>
      <w:pPr>
        <w:tabs>
          <w:tab w:val="num" w:pos="5940"/>
        </w:tabs>
        <w:ind w:left="5940" w:hanging="360"/>
      </w:pPr>
      <w:rPr>
        <w:rFonts w:ascii="Symbol" w:hAnsi="Symbol" w:hint="default"/>
      </w:rPr>
    </w:lvl>
    <w:lvl w:ilvl="7" w:tplc="A5CE7BD4" w:tentative="1">
      <w:start w:val="1"/>
      <w:numFmt w:val="bullet"/>
      <w:lvlText w:val="o"/>
      <w:lvlJc w:val="left"/>
      <w:pPr>
        <w:tabs>
          <w:tab w:val="num" w:pos="6660"/>
        </w:tabs>
        <w:ind w:left="6660" w:hanging="360"/>
      </w:pPr>
      <w:rPr>
        <w:rFonts w:ascii="Courier New" w:hAnsi="Courier New" w:hint="default"/>
      </w:rPr>
    </w:lvl>
    <w:lvl w:ilvl="8" w:tplc="D780FBAC"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5F7D1A39"/>
    <w:multiLevelType w:val="hybridMultilevel"/>
    <w:tmpl w:val="C6203F0E"/>
    <w:lvl w:ilvl="0" w:tplc="E83CD31C">
      <w:start w:val="1"/>
      <w:numFmt w:val="bullet"/>
      <w:lvlText w:val=""/>
      <w:lvlJc w:val="left"/>
      <w:pPr>
        <w:tabs>
          <w:tab w:val="num" w:pos="720"/>
        </w:tabs>
        <w:ind w:left="720" w:hanging="360"/>
      </w:pPr>
      <w:rPr>
        <w:rFonts w:ascii="Symbol" w:hAnsi="Symbol" w:hint="default"/>
      </w:rPr>
    </w:lvl>
    <w:lvl w:ilvl="1" w:tplc="50704744">
      <w:start w:val="1"/>
      <w:numFmt w:val="bullet"/>
      <w:lvlText w:val="o"/>
      <w:lvlJc w:val="left"/>
      <w:pPr>
        <w:tabs>
          <w:tab w:val="num" w:pos="1440"/>
        </w:tabs>
        <w:ind w:left="1440" w:hanging="360"/>
      </w:pPr>
      <w:rPr>
        <w:rFonts w:ascii="Courier New" w:hAnsi="Courier New" w:hint="default"/>
      </w:rPr>
    </w:lvl>
    <w:lvl w:ilvl="2" w:tplc="705CDE5A" w:tentative="1">
      <w:start w:val="1"/>
      <w:numFmt w:val="bullet"/>
      <w:lvlText w:val=""/>
      <w:lvlJc w:val="left"/>
      <w:pPr>
        <w:tabs>
          <w:tab w:val="num" w:pos="2160"/>
        </w:tabs>
        <w:ind w:left="2160" w:hanging="360"/>
      </w:pPr>
      <w:rPr>
        <w:rFonts w:ascii="Wingdings" w:hAnsi="Wingdings" w:hint="default"/>
      </w:rPr>
    </w:lvl>
    <w:lvl w:ilvl="3" w:tplc="B9D48B56" w:tentative="1">
      <w:start w:val="1"/>
      <w:numFmt w:val="bullet"/>
      <w:lvlText w:val=""/>
      <w:lvlJc w:val="left"/>
      <w:pPr>
        <w:tabs>
          <w:tab w:val="num" w:pos="2880"/>
        </w:tabs>
        <w:ind w:left="2880" w:hanging="360"/>
      </w:pPr>
      <w:rPr>
        <w:rFonts w:ascii="Symbol" w:hAnsi="Symbol" w:hint="default"/>
      </w:rPr>
    </w:lvl>
    <w:lvl w:ilvl="4" w:tplc="F4564920" w:tentative="1">
      <w:start w:val="1"/>
      <w:numFmt w:val="bullet"/>
      <w:lvlText w:val="o"/>
      <w:lvlJc w:val="left"/>
      <w:pPr>
        <w:tabs>
          <w:tab w:val="num" w:pos="3600"/>
        </w:tabs>
        <w:ind w:left="3600" w:hanging="360"/>
      </w:pPr>
      <w:rPr>
        <w:rFonts w:ascii="Courier New" w:hAnsi="Courier New" w:hint="default"/>
      </w:rPr>
    </w:lvl>
    <w:lvl w:ilvl="5" w:tplc="ACF82880" w:tentative="1">
      <w:start w:val="1"/>
      <w:numFmt w:val="bullet"/>
      <w:lvlText w:val=""/>
      <w:lvlJc w:val="left"/>
      <w:pPr>
        <w:tabs>
          <w:tab w:val="num" w:pos="4320"/>
        </w:tabs>
        <w:ind w:left="4320" w:hanging="360"/>
      </w:pPr>
      <w:rPr>
        <w:rFonts w:ascii="Wingdings" w:hAnsi="Wingdings" w:hint="default"/>
      </w:rPr>
    </w:lvl>
    <w:lvl w:ilvl="6" w:tplc="0B3A3316" w:tentative="1">
      <w:start w:val="1"/>
      <w:numFmt w:val="bullet"/>
      <w:lvlText w:val=""/>
      <w:lvlJc w:val="left"/>
      <w:pPr>
        <w:tabs>
          <w:tab w:val="num" w:pos="5040"/>
        </w:tabs>
        <w:ind w:left="5040" w:hanging="360"/>
      </w:pPr>
      <w:rPr>
        <w:rFonts w:ascii="Symbol" w:hAnsi="Symbol" w:hint="default"/>
      </w:rPr>
    </w:lvl>
    <w:lvl w:ilvl="7" w:tplc="54584014" w:tentative="1">
      <w:start w:val="1"/>
      <w:numFmt w:val="bullet"/>
      <w:lvlText w:val="o"/>
      <w:lvlJc w:val="left"/>
      <w:pPr>
        <w:tabs>
          <w:tab w:val="num" w:pos="5760"/>
        </w:tabs>
        <w:ind w:left="5760" w:hanging="360"/>
      </w:pPr>
      <w:rPr>
        <w:rFonts w:ascii="Courier New" w:hAnsi="Courier New" w:hint="default"/>
      </w:rPr>
    </w:lvl>
    <w:lvl w:ilvl="8" w:tplc="A68CEA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9F643C"/>
    <w:multiLevelType w:val="hybridMultilevel"/>
    <w:tmpl w:val="4936080E"/>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BD0B0C"/>
    <w:multiLevelType w:val="hybridMultilevel"/>
    <w:tmpl w:val="42AAE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0029D"/>
    <w:multiLevelType w:val="hybridMultilevel"/>
    <w:tmpl w:val="076ABD26"/>
    <w:lvl w:ilvl="0" w:tplc="4FD07162">
      <w:start w:val="1"/>
      <w:numFmt w:val="bullet"/>
      <w:lvlText w:val=""/>
      <w:lvlJc w:val="left"/>
      <w:pPr>
        <w:tabs>
          <w:tab w:val="num" w:pos="720"/>
        </w:tabs>
        <w:ind w:left="720" w:hanging="360"/>
      </w:pPr>
      <w:rPr>
        <w:rFonts w:ascii="Symbol" w:hAnsi="Symbol" w:hint="default"/>
      </w:rPr>
    </w:lvl>
    <w:lvl w:ilvl="1" w:tplc="52A04E0C">
      <w:start w:val="1"/>
      <w:numFmt w:val="bullet"/>
      <w:lvlText w:val="o"/>
      <w:lvlJc w:val="left"/>
      <w:pPr>
        <w:tabs>
          <w:tab w:val="num" w:pos="1440"/>
        </w:tabs>
        <w:ind w:left="1440" w:hanging="360"/>
      </w:pPr>
      <w:rPr>
        <w:rFonts w:ascii="Courier New" w:hAnsi="Courier New" w:hint="default"/>
      </w:rPr>
    </w:lvl>
    <w:lvl w:ilvl="2" w:tplc="71E86DEC" w:tentative="1">
      <w:start w:val="1"/>
      <w:numFmt w:val="bullet"/>
      <w:lvlText w:val=""/>
      <w:lvlJc w:val="left"/>
      <w:pPr>
        <w:tabs>
          <w:tab w:val="num" w:pos="2160"/>
        </w:tabs>
        <w:ind w:left="2160" w:hanging="360"/>
      </w:pPr>
      <w:rPr>
        <w:rFonts w:ascii="Wingdings" w:hAnsi="Wingdings" w:hint="default"/>
      </w:rPr>
    </w:lvl>
    <w:lvl w:ilvl="3" w:tplc="6F266F44" w:tentative="1">
      <w:start w:val="1"/>
      <w:numFmt w:val="bullet"/>
      <w:lvlText w:val=""/>
      <w:lvlJc w:val="left"/>
      <w:pPr>
        <w:tabs>
          <w:tab w:val="num" w:pos="2880"/>
        </w:tabs>
        <w:ind w:left="2880" w:hanging="360"/>
      </w:pPr>
      <w:rPr>
        <w:rFonts w:ascii="Symbol" w:hAnsi="Symbol" w:hint="default"/>
      </w:rPr>
    </w:lvl>
    <w:lvl w:ilvl="4" w:tplc="0B422558" w:tentative="1">
      <w:start w:val="1"/>
      <w:numFmt w:val="bullet"/>
      <w:lvlText w:val="o"/>
      <w:lvlJc w:val="left"/>
      <w:pPr>
        <w:tabs>
          <w:tab w:val="num" w:pos="3600"/>
        </w:tabs>
        <w:ind w:left="3600" w:hanging="360"/>
      </w:pPr>
      <w:rPr>
        <w:rFonts w:ascii="Courier New" w:hAnsi="Courier New" w:hint="default"/>
      </w:rPr>
    </w:lvl>
    <w:lvl w:ilvl="5" w:tplc="0F70876E" w:tentative="1">
      <w:start w:val="1"/>
      <w:numFmt w:val="bullet"/>
      <w:lvlText w:val=""/>
      <w:lvlJc w:val="left"/>
      <w:pPr>
        <w:tabs>
          <w:tab w:val="num" w:pos="4320"/>
        </w:tabs>
        <w:ind w:left="4320" w:hanging="360"/>
      </w:pPr>
      <w:rPr>
        <w:rFonts w:ascii="Wingdings" w:hAnsi="Wingdings" w:hint="default"/>
      </w:rPr>
    </w:lvl>
    <w:lvl w:ilvl="6" w:tplc="2BE67BA4" w:tentative="1">
      <w:start w:val="1"/>
      <w:numFmt w:val="bullet"/>
      <w:lvlText w:val=""/>
      <w:lvlJc w:val="left"/>
      <w:pPr>
        <w:tabs>
          <w:tab w:val="num" w:pos="5040"/>
        </w:tabs>
        <w:ind w:left="5040" w:hanging="360"/>
      </w:pPr>
      <w:rPr>
        <w:rFonts w:ascii="Symbol" w:hAnsi="Symbol" w:hint="default"/>
      </w:rPr>
    </w:lvl>
    <w:lvl w:ilvl="7" w:tplc="C444E98E" w:tentative="1">
      <w:start w:val="1"/>
      <w:numFmt w:val="bullet"/>
      <w:lvlText w:val="o"/>
      <w:lvlJc w:val="left"/>
      <w:pPr>
        <w:tabs>
          <w:tab w:val="num" w:pos="5760"/>
        </w:tabs>
        <w:ind w:left="5760" w:hanging="360"/>
      </w:pPr>
      <w:rPr>
        <w:rFonts w:ascii="Courier New" w:hAnsi="Courier New" w:hint="default"/>
      </w:rPr>
    </w:lvl>
    <w:lvl w:ilvl="8" w:tplc="A5FC676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DD3"/>
    <w:rsid w:val="00001E7F"/>
    <w:rsid w:val="00035FB5"/>
    <w:rsid w:val="00037E7F"/>
    <w:rsid w:val="0005545A"/>
    <w:rsid w:val="000562B9"/>
    <w:rsid w:val="000A6A5A"/>
    <w:rsid w:val="000B4DDA"/>
    <w:rsid w:val="000B5392"/>
    <w:rsid w:val="000C5BE4"/>
    <w:rsid w:val="000C61D8"/>
    <w:rsid w:val="000D591E"/>
    <w:rsid w:val="000E185A"/>
    <w:rsid w:val="000E60C6"/>
    <w:rsid w:val="000E6683"/>
    <w:rsid w:val="000F4F55"/>
    <w:rsid w:val="001001B7"/>
    <w:rsid w:val="00147EFC"/>
    <w:rsid w:val="001700DB"/>
    <w:rsid w:val="001705C7"/>
    <w:rsid w:val="001B38DB"/>
    <w:rsid w:val="001F5324"/>
    <w:rsid w:val="002076F9"/>
    <w:rsid w:val="00212B25"/>
    <w:rsid w:val="00225393"/>
    <w:rsid w:val="00226CC8"/>
    <w:rsid w:val="0023350A"/>
    <w:rsid w:val="00235BC6"/>
    <w:rsid w:val="00245772"/>
    <w:rsid w:val="00251A35"/>
    <w:rsid w:val="00262259"/>
    <w:rsid w:val="0029744B"/>
    <w:rsid w:val="002A2266"/>
    <w:rsid w:val="002A730F"/>
    <w:rsid w:val="002D081E"/>
    <w:rsid w:val="002E2B96"/>
    <w:rsid w:val="00322FF0"/>
    <w:rsid w:val="00331143"/>
    <w:rsid w:val="0033720F"/>
    <w:rsid w:val="003A5F8D"/>
    <w:rsid w:val="003B2A97"/>
    <w:rsid w:val="003D6A37"/>
    <w:rsid w:val="003E5018"/>
    <w:rsid w:val="003E7245"/>
    <w:rsid w:val="003F4A96"/>
    <w:rsid w:val="003F5F70"/>
    <w:rsid w:val="00416A02"/>
    <w:rsid w:val="004443F8"/>
    <w:rsid w:val="004511C7"/>
    <w:rsid w:val="00485BD2"/>
    <w:rsid w:val="00486D2A"/>
    <w:rsid w:val="00495D42"/>
    <w:rsid w:val="004B6AA7"/>
    <w:rsid w:val="004D248C"/>
    <w:rsid w:val="004E2D22"/>
    <w:rsid w:val="004F3295"/>
    <w:rsid w:val="0050372B"/>
    <w:rsid w:val="0051125B"/>
    <w:rsid w:val="00516880"/>
    <w:rsid w:val="00527983"/>
    <w:rsid w:val="005377C9"/>
    <w:rsid w:val="00551527"/>
    <w:rsid w:val="005675BD"/>
    <w:rsid w:val="005A35A8"/>
    <w:rsid w:val="005D071C"/>
    <w:rsid w:val="005D5AEC"/>
    <w:rsid w:val="005E0AF4"/>
    <w:rsid w:val="005E671E"/>
    <w:rsid w:val="005F5C1D"/>
    <w:rsid w:val="005F684B"/>
    <w:rsid w:val="00607EBC"/>
    <w:rsid w:val="006162E0"/>
    <w:rsid w:val="0063176F"/>
    <w:rsid w:val="0064731C"/>
    <w:rsid w:val="006478E8"/>
    <w:rsid w:val="00656F27"/>
    <w:rsid w:val="006604FA"/>
    <w:rsid w:val="00661E5F"/>
    <w:rsid w:val="0067738B"/>
    <w:rsid w:val="006C21B8"/>
    <w:rsid w:val="006C510E"/>
    <w:rsid w:val="006C7357"/>
    <w:rsid w:val="006D6FC1"/>
    <w:rsid w:val="006E19A6"/>
    <w:rsid w:val="006F0C2A"/>
    <w:rsid w:val="007064AF"/>
    <w:rsid w:val="00706DB5"/>
    <w:rsid w:val="00714D3F"/>
    <w:rsid w:val="00726C01"/>
    <w:rsid w:val="00727FA2"/>
    <w:rsid w:val="00733E7A"/>
    <w:rsid w:val="00745B0E"/>
    <w:rsid w:val="0074697F"/>
    <w:rsid w:val="00754449"/>
    <w:rsid w:val="00784EA4"/>
    <w:rsid w:val="00792A14"/>
    <w:rsid w:val="007A7F8C"/>
    <w:rsid w:val="007C0D92"/>
    <w:rsid w:val="007F2BA9"/>
    <w:rsid w:val="00804085"/>
    <w:rsid w:val="00823C38"/>
    <w:rsid w:val="00834B59"/>
    <w:rsid w:val="00844A52"/>
    <w:rsid w:val="00850BF0"/>
    <w:rsid w:val="008633EE"/>
    <w:rsid w:val="00881F27"/>
    <w:rsid w:val="00887C52"/>
    <w:rsid w:val="008A17DB"/>
    <w:rsid w:val="008C20DC"/>
    <w:rsid w:val="008C7741"/>
    <w:rsid w:val="008D409C"/>
    <w:rsid w:val="008E1FC4"/>
    <w:rsid w:val="008F490E"/>
    <w:rsid w:val="00946451"/>
    <w:rsid w:val="00962571"/>
    <w:rsid w:val="00980D52"/>
    <w:rsid w:val="009974C4"/>
    <w:rsid w:val="009A128D"/>
    <w:rsid w:val="009E79C5"/>
    <w:rsid w:val="00A025D8"/>
    <w:rsid w:val="00A057C0"/>
    <w:rsid w:val="00A123D9"/>
    <w:rsid w:val="00A446F3"/>
    <w:rsid w:val="00A8049B"/>
    <w:rsid w:val="00A855D5"/>
    <w:rsid w:val="00A9572D"/>
    <w:rsid w:val="00AE438C"/>
    <w:rsid w:val="00AE4C29"/>
    <w:rsid w:val="00B223A9"/>
    <w:rsid w:val="00B37A54"/>
    <w:rsid w:val="00B40386"/>
    <w:rsid w:val="00B45CEE"/>
    <w:rsid w:val="00B56260"/>
    <w:rsid w:val="00B6104A"/>
    <w:rsid w:val="00BA227E"/>
    <w:rsid w:val="00BB320C"/>
    <w:rsid w:val="00BE4CE8"/>
    <w:rsid w:val="00C07DDB"/>
    <w:rsid w:val="00C1075B"/>
    <w:rsid w:val="00C13894"/>
    <w:rsid w:val="00C16A10"/>
    <w:rsid w:val="00C20614"/>
    <w:rsid w:val="00C46DD3"/>
    <w:rsid w:val="00C62F7B"/>
    <w:rsid w:val="00C70CED"/>
    <w:rsid w:val="00C81700"/>
    <w:rsid w:val="00C86E78"/>
    <w:rsid w:val="00CC414E"/>
    <w:rsid w:val="00D06B22"/>
    <w:rsid w:val="00D13709"/>
    <w:rsid w:val="00D22AA4"/>
    <w:rsid w:val="00D310D7"/>
    <w:rsid w:val="00D34B99"/>
    <w:rsid w:val="00D37CA7"/>
    <w:rsid w:val="00D869D9"/>
    <w:rsid w:val="00DA50F8"/>
    <w:rsid w:val="00DF22BF"/>
    <w:rsid w:val="00DF7B63"/>
    <w:rsid w:val="00E02D79"/>
    <w:rsid w:val="00E50BD8"/>
    <w:rsid w:val="00E63373"/>
    <w:rsid w:val="00E65825"/>
    <w:rsid w:val="00E71704"/>
    <w:rsid w:val="00E878FE"/>
    <w:rsid w:val="00EB0B58"/>
    <w:rsid w:val="00EB2A5B"/>
    <w:rsid w:val="00EF2396"/>
    <w:rsid w:val="00F009BC"/>
    <w:rsid w:val="00F235B7"/>
    <w:rsid w:val="00F23FB2"/>
    <w:rsid w:val="00F24E0B"/>
    <w:rsid w:val="00F51CEF"/>
    <w:rsid w:val="00F7435C"/>
    <w:rsid w:val="00F9138D"/>
    <w:rsid w:val="00F9421B"/>
    <w:rsid w:val="00FA6119"/>
    <w:rsid w:val="00FC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8EF354-F4C9-4EC8-AD63-443447F8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b/>
      <w:bCs/>
      <w:sz w:val="24"/>
      <w:szCs w:val="24"/>
    </w:rPr>
  </w:style>
  <w:style w:type="paragraph" w:styleId="Heading1">
    <w:name w:val="heading 1"/>
    <w:basedOn w:val="Normal"/>
    <w:next w:val="Normal"/>
    <w:qFormat/>
    <w:pPr>
      <w:keepNext/>
      <w:outlineLvl w:val="0"/>
    </w:pPr>
    <w:rPr>
      <w:b w:val="0"/>
      <w:bCs w:val="0"/>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val="0"/>
      <w:bCs w:val="0"/>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tabs>
        <w:tab w:val="left" w:pos="-1080"/>
        <w:tab w:val="left" w:pos="-720"/>
        <w:tab w:val="left" w:pos="0"/>
        <w:tab w:val="left" w:pos="360"/>
        <w:tab w:val="left" w:pos="900"/>
        <w:tab w:val="left" w:pos="1080"/>
        <w:tab w:val="left" w:pos="1350"/>
        <w:tab w:val="left" w:pos="1800"/>
        <w:tab w:val="left" w:pos="2160"/>
        <w:tab w:val="left" w:pos="2610"/>
        <w:tab w:val="left" w:pos="288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outlineLvl w:val="4"/>
    </w:pPr>
    <w:rPr>
      <w:b w:val="0"/>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val="0"/>
      <w:bCs w:val="0"/>
    </w:rPr>
  </w:style>
  <w:style w:type="paragraph" w:styleId="DocumentMap">
    <w:name w:val="Document Map"/>
    <w:basedOn w:val="Normal"/>
    <w:semiHidden/>
    <w:pPr>
      <w:shd w:val="clear" w:color="auto" w:fill="000080"/>
    </w:pPr>
    <w:rPr>
      <w:rFonts w:ascii="Tahoma" w:hAnsi="Tahoma" w:cs="Tahoma"/>
    </w:rPr>
  </w:style>
  <w:style w:type="paragraph" w:customStyle="1" w:styleId="ManualHeading1">
    <w:name w:val="Manual Heading 1"/>
    <w:basedOn w:val="Heading1"/>
    <w:pPr>
      <w:tabs>
        <w:tab w:val="right" w:pos="10440"/>
      </w:tabs>
      <w:autoSpaceDE w:val="0"/>
      <w:autoSpaceDN w:val="0"/>
      <w:adjustRightInd w:val="0"/>
      <w:ind w:left="1440" w:hanging="1440"/>
      <w:jc w:val="both"/>
    </w:pPr>
    <w:rPr>
      <w:sz w:val="28"/>
    </w:rPr>
  </w:style>
  <w:style w:type="paragraph" w:customStyle="1" w:styleId="ManualHeading2">
    <w:name w:val="Manual Heading 2"/>
    <w:basedOn w:val="Heading2"/>
    <w:pPr>
      <w:widowControl w:val="0"/>
      <w:autoSpaceDE w:val="0"/>
      <w:autoSpaceDN w:val="0"/>
      <w:adjustRightInd w:val="0"/>
      <w:ind w:left="1440" w:hanging="1440"/>
    </w:pPr>
    <w:rPr>
      <w:bCs w:val="0"/>
      <w:sz w:val="24"/>
    </w:rPr>
  </w:style>
  <w:style w:type="paragraph" w:styleId="BodyText2">
    <w:name w:val="Body Text 2"/>
    <w:basedOn w:val="Normal"/>
    <w:pPr>
      <w:jc w:val="both"/>
    </w:pPr>
  </w:style>
  <w:style w:type="paragraph" w:styleId="BodyText3">
    <w:name w:val="Body Text 3"/>
    <w:basedOn w:val="Normal"/>
    <w:pPr>
      <w:jc w:val="both"/>
    </w:pPr>
    <w:rPr>
      <w:b w:val="0"/>
      <w:bCs w:val="0"/>
    </w:rPr>
  </w:style>
  <w:style w:type="paragraph" w:styleId="BodyTextIndent">
    <w:name w:val="Body Text Indent"/>
    <w:basedOn w:val="Normal"/>
    <w:pPr>
      <w:ind w:left="720"/>
    </w:pPr>
    <w:rPr>
      <w:b w:val="0"/>
      <w:bCs w:val="0"/>
    </w:rPr>
  </w:style>
  <w:style w:type="character" w:customStyle="1" w:styleId="style41">
    <w:name w:val="style41"/>
    <w:rPr>
      <w:sz w:val="24"/>
      <w:szCs w:val="24"/>
    </w:rPr>
  </w:style>
  <w:style w:type="paragraph" w:styleId="TOC1">
    <w:name w:val="toc 1"/>
    <w:basedOn w:val="Normal"/>
    <w:next w:val="Normal"/>
    <w:autoRedefine/>
    <w:uiPriority w:val="39"/>
    <w:pPr>
      <w:tabs>
        <w:tab w:val="left" w:pos="2160"/>
        <w:tab w:val="right" w:leader="dot" w:pos="9360"/>
      </w:tabs>
      <w:spacing w:before="120"/>
      <w:ind w:left="2160" w:right="360" w:hanging="2160"/>
    </w:pPr>
    <w:rPr>
      <w:noProof/>
      <w:szCs w:val="28"/>
    </w:rPr>
  </w:style>
  <w:style w:type="paragraph" w:styleId="TOC2">
    <w:name w:val="toc 2"/>
    <w:basedOn w:val="Normal"/>
    <w:next w:val="Normal"/>
    <w:autoRedefine/>
    <w:uiPriority w:val="39"/>
    <w:pPr>
      <w:tabs>
        <w:tab w:val="left" w:pos="2160"/>
        <w:tab w:val="right" w:leader="dot" w:pos="9360"/>
      </w:tabs>
      <w:ind w:left="2160" w:right="360" w:hanging="1440"/>
    </w:pPr>
    <w:rPr>
      <w:b w:val="0"/>
      <w:bCs w:val="0"/>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DefaultText">
    <w:name w:val="Default Text"/>
    <w:basedOn w:val="Normal"/>
    <w:pPr>
      <w:overflowPunct w:val="0"/>
      <w:autoSpaceDE w:val="0"/>
      <w:autoSpaceDN w:val="0"/>
      <w:adjustRightInd w:val="0"/>
      <w:textAlignment w:val="baseline"/>
    </w:pPr>
    <w:rPr>
      <w:rFonts w:ascii="Times New Roman" w:hAnsi="Times New Roman" w:cs="Times New Roman"/>
      <w:b w:val="0"/>
      <w:bCs w:val="0"/>
      <w:szCs w:val="20"/>
    </w:rPr>
  </w:style>
  <w:style w:type="character" w:styleId="FollowedHyperlink">
    <w:name w:val="FollowedHyperlink"/>
    <w:rPr>
      <w:color w:val="800080"/>
      <w:u w:val="single"/>
    </w:rPr>
  </w:style>
  <w:style w:type="paragraph" w:styleId="BodyTextIndent2">
    <w:name w:val="Body Text Indent 2"/>
    <w:basedOn w:val="Normal"/>
    <w:pPr>
      <w:ind w:firstLine="900"/>
      <w:jc w:val="both"/>
    </w:pPr>
    <w:rPr>
      <w:rFonts w:ascii="Univers" w:hAnsi="Univers" w:cs="Times New Roman"/>
      <w:b w:val="0"/>
      <w:bCs w:val="0"/>
    </w:rPr>
  </w:style>
  <w:style w:type="paragraph" w:styleId="BodyTextIndent3">
    <w:name w:val="Body Text Indent 3"/>
    <w:basedOn w:val="Normal"/>
    <w:pPr>
      <w:autoSpaceDE w:val="0"/>
      <w:autoSpaceDN w:val="0"/>
      <w:adjustRightInd w:val="0"/>
      <w:ind w:left="360" w:hanging="360"/>
      <w:jc w:val="both"/>
    </w:pPr>
    <w:rPr>
      <w:b w:val="0"/>
      <w:bCs w:val="0"/>
    </w:rPr>
  </w:style>
  <w:style w:type="paragraph" w:customStyle="1" w:styleId="Style">
    <w:name w:val="Style"/>
    <w:basedOn w:val="Normal"/>
    <w:pPr>
      <w:widowControl w:val="0"/>
      <w:autoSpaceDE w:val="0"/>
      <w:autoSpaceDN w:val="0"/>
      <w:adjustRightInd w:val="0"/>
      <w:ind w:left="240" w:hanging="240"/>
    </w:pPr>
    <w:rPr>
      <w:rFonts w:ascii="Univers" w:hAnsi="Univers" w:cs="Times New Roman"/>
      <w:b w:val="0"/>
      <w:bCs w:val="0"/>
      <w:sz w:val="20"/>
    </w:rPr>
  </w:style>
  <w:style w:type="character" w:styleId="CommentReference">
    <w:name w:val="annotation reference"/>
    <w:rsid w:val="00DF7B63"/>
    <w:rPr>
      <w:sz w:val="16"/>
      <w:szCs w:val="16"/>
    </w:rPr>
  </w:style>
  <w:style w:type="paragraph" w:styleId="CommentText">
    <w:name w:val="annotation text"/>
    <w:basedOn w:val="Normal"/>
    <w:link w:val="CommentTextChar"/>
    <w:rsid w:val="00DF7B63"/>
    <w:rPr>
      <w:sz w:val="20"/>
      <w:szCs w:val="20"/>
    </w:rPr>
  </w:style>
  <w:style w:type="character" w:customStyle="1" w:styleId="CommentTextChar">
    <w:name w:val="Comment Text Char"/>
    <w:link w:val="CommentText"/>
    <w:rsid w:val="00DF7B63"/>
    <w:rPr>
      <w:rFonts w:ascii="Arial" w:hAnsi="Arial" w:cs="Arial"/>
      <w:b/>
      <w:bCs/>
    </w:rPr>
  </w:style>
  <w:style w:type="paragraph" w:styleId="CommentSubject">
    <w:name w:val="annotation subject"/>
    <w:basedOn w:val="CommentText"/>
    <w:next w:val="CommentText"/>
    <w:link w:val="CommentSubjectChar"/>
    <w:rsid w:val="00DF7B63"/>
  </w:style>
  <w:style w:type="character" w:customStyle="1" w:styleId="CommentSubjectChar">
    <w:name w:val="Comment Subject Char"/>
    <w:basedOn w:val="CommentTextChar"/>
    <w:link w:val="CommentSubject"/>
    <w:rsid w:val="00DF7B63"/>
    <w:rPr>
      <w:rFonts w:ascii="Arial" w:hAnsi="Arial" w:cs="Arial"/>
      <w:b/>
      <w:bCs/>
    </w:rPr>
  </w:style>
  <w:style w:type="paragraph" w:styleId="BalloonText">
    <w:name w:val="Balloon Text"/>
    <w:basedOn w:val="Normal"/>
    <w:link w:val="BalloonTextChar"/>
    <w:rsid w:val="00DF7B63"/>
    <w:rPr>
      <w:rFonts w:ascii="Tahoma" w:hAnsi="Tahoma" w:cs="Tahoma"/>
      <w:sz w:val="16"/>
      <w:szCs w:val="16"/>
    </w:rPr>
  </w:style>
  <w:style w:type="character" w:customStyle="1" w:styleId="BalloonTextChar">
    <w:name w:val="Balloon Text Char"/>
    <w:link w:val="BalloonText"/>
    <w:rsid w:val="00DF7B63"/>
    <w:rPr>
      <w:rFonts w:ascii="Tahoma" w:hAnsi="Tahoma" w:cs="Tahoma"/>
      <w:b/>
      <w:bCs/>
      <w:sz w:val="16"/>
      <w:szCs w:val="16"/>
    </w:rPr>
  </w:style>
  <w:style w:type="character" w:customStyle="1" w:styleId="HeaderChar">
    <w:name w:val="Header Char"/>
    <w:link w:val="Header"/>
    <w:uiPriority w:val="99"/>
    <w:rsid w:val="00486D2A"/>
    <w:rPr>
      <w:rFonts w:ascii="Arial" w:hAnsi="Arial" w:cs="Arial"/>
      <w:b/>
      <w:bCs/>
      <w:sz w:val="24"/>
      <w:szCs w:val="24"/>
    </w:rPr>
  </w:style>
  <w:style w:type="character" w:customStyle="1" w:styleId="FooterChar">
    <w:name w:val="Footer Char"/>
    <w:link w:val="Footer"/>
    <w:uiPriority w:val="99"/>
    <w:rsid w:val="00486D2A"/>
    <w:rPr>
      <w:rFonts w:ascii="Arial" w:hAnsi="Arial" w:cs="Arial"/>
      <w:b/>
      <w:bCs/>
      <w:sz w:val="24"/>
      <w:szCs w:val="24"/>
    </w:rPr>
  </w:style>
  <w:style w:type="paragraph" w:customStyle="1" w:styleId="style0">
    <w:name w:val="style"/>
    <w:basedOn w:val="Normal"/>
    <w:rsid w:val="001705C7"/>
    <w:pPr>
      <w:autoSpaceDE w:val="0"/>
      <w:autoSpaceDN w:val="0"/>
      <w:ind w:left="240" w:hanging="240"/>
    </w:pPr>
    <w:rPr>
      <w:rFonts w:ascii="Univers" w:hAnsi="Univers"/>
      <w:sz w:val="20"/>
      <w:szCs w:val="20"/>
    </w:rPr>
  </w:style>
  <w:style w:type="paragraph" w:styleId="ListParagraph">
    <w:name w:val="List Paragraph"/>
    <w:basedOn w:val="Normal"/>
    <w:uiPriority w:val="34"/>
    <w:qFormat/>
    <w:rsid w:val="0048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5527">
      <w:bodyDiv w:val="1"/>
      <w:marLeft w:val="0"/>
      <w:marRight w:val="0"/>
      <w:marTop w:val="0"/>
      <w:marBottom w:val="0"/>
      <w:divBdr>
        <w:top w:val="none" w:sz="0" w:space="0" w:color="auto"/>
        <w:left w:val="none" w:sz="0" w:space="0" w:color="auto"/>
        <w:bottom w:val="none" w:sz="0" w:space="0" w:color="auto"/>
        <w:right w:val="none" w:sz="0" w:space="0" w:color="auto"/>
      </w:divBdr>
    </w:div>
    <w:div w:id="16567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medsweb.scdhhs.gov/EligibilityForms/FM%20913-A.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edsweb.scdhhs.gov/EligibilityForms/FM1233-ME.pdf" TargetMode="External"/><Relationship Id="rId2" Type="http://schemas.openxmlformats.org/officeDocument/2006/relationships/customXml" Target="../customXml/item2.xml"/><Relationship Id="rId16" Type="http://schemas.openxmlformats.org/officeDocument/2006/relationships/hyperlink" Target="https://www.scdhhs.gov/sites/default/files/Form%203400%20Applica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cdhhs.gov/sites/default/files/Form%203400%20Application.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cdhhs.gov/sites/default/files/Form%203400%20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c39a5cb0-216e-41a0-bbeb-5bfa6ec8914d">R2UUKJDZ4VCH-2180-117</_dlc_DocId>
    <_dlc_DocIdUrl xmlns="c39a5cb0-216e-41a0-bbeb-5bfa6ec8914d">
      <Url>https://team.scdhhs.gov/pmo/ProjectRepository/1211207/_layouts/DocIdRedir.aspx?ID=R2UUKJDZ4VCH-2180-117</Url>
      <Description>R2UUKJDZ4VCH-2180-117</Description>
    </_dlc_DocIdUrl>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7" ma:contentTypeDescription="Create a new document." ma:contentTypeScope="" ma:versionID="d18363eccbc909b14b1e799f5186406e">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f72026d1c05e6646c1acc82378a9b80b"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1B93-AEC7-4265-8BFE-D9E17F6A5ECD}">
  <ds:schemaRefs>
    <ds:schemaRef ds:uri="http://schemas.microsoft.com/office/2006/metadata/longProperties"/>
  </ds:schemaRefs>
</ds:datastoreItem>
</file>

<file path=customXml/itemProps2.xml><?xml version="1.0" encoding="utf-8"?>
<ds:datastoreItem xmlns:ds="http://schemas.openxmlformats.org/officeDocument/2006/customXml" ds:itemID="{C34818AA-B521-46CE-BC91-FB4F0948E3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008B3-1968-4983-991D-F883F98BC128}">
  <ds:schemaRefs>
    <ds:schemaRef ds:uri="http://schemas.microsoft.com/sharepoint/v3/contenttype/forms"/>
  </ds:schemaRefs>
</ds:datastoreItem>
</file>

<file path=customXml/itemProps4.xml><?xml version="1.0" encoding="utf-8"?>
<ds:datastoreItem xmlns:ds="http://schemas.openxmlformats.org/officeDocument/2006/customXml" ds:itemID="{99F57F73-CC3D-404C-9369-0F8E4E31973F}"/>
</file>

<file path=customXml/itemProps5.xml><?xml version="1.0" encoding="utf-8"?>
<ds:datastoreItem xmlns:ds="http://schemas.openxmlformats.org/officeDocument/2006/customXml" ds:itemID="{4A0CF817-FC3B-45CD-84BA-BACF363DD0A1}"/>
</file>

<file path=customXml/itemProps6.xml><?xml version="1.0" encoding="utf-8"?>
<ds:datastoreItem xmlns:ds="http://schemas.openxmlformats.org/officeDocument/2006/customXml" ds:itemID="{42940BF6-5F44-4A9F-81F3-F62ACFC3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501 - BCCP</vt:lpstr>
    </vt:vector>
  </TitlesOfParts>
  <Company>South Carolina</Company>
  <LinksUpToDate>false</LinksUpToDate>
  <CharactersWithSpaces>14943</CharactersWithSpaces>
  <SharedDoc>false</SharedDoc>
  <HLinks>
    <vt:vector size="216" baseType="variant">
      <vt:variant>
        <vt:i4>6619259</vt:i4>
      </vt:variant>
      <vt:variant>
        <vt:i4>168</vt:i4>
      </vt:variant>
      <vt:variant>
        <vt:i4>0</vt:i4>
      </vt:variant>
      <vt:variant>
        <vt:i4>5</vt:i4>
      </vt:variant>
      <vt:variant>
        <vt:lpwstr>http://medsweb.scdhhs.gov/EligibilityForms/FM 3214-2 ME.pdf</vt:lpwstr>
      </vt:variant>
      <vt:variant>
        <vt:lpwstr/>
      </vt:variant>
      <vt:variant>
        <vt:i4>262192</vt:i4>
      </vt:variant>
      <vt:variant>
        <vt:i4>165</vt:i4>
      </vt:variant>
      <vt:variant>
        <vt:i4>0</vt:i4>
      </vt:variant>
      <vt:variant>
        <vt:i4>5</vt:i4>
      </vt:variant>
      <vt:variant>
        <vt:lpwstr/>
      </vt:variant>
      <vt:variant>
        <vt:lpwstr>_top</vt:lpwstr>
      </vt:variant>
      <vt:variant>
        <vt:i4>262192</vt:i4>
      </vt:variant>
      <vt:variant>
        <vt:i4>162</vt:i4>
      </vt:variant>
      <vt:variant>
        <vt:i4>0</vt:i4>
      </vt:variant>
      <vt:variant>
        <vt:i4>5</vt:i4>
      </vt:variant>
      <vt:variant>
        <vt:lpwstr/>
      </vt:variant>
      <vt:variant>
        <vt:lpwstr>_top</vt:lpwstr>
      </vt:variant>
      <vt:variant>
        <vt:i4>3342360</vt:i4>
      </vt:variant>
      <vt:variant>
        <vt:i4>159</vt:i4>
      </vt:variant>
      <vt:variant>
        <vt:i4>0</vt:i4>
      </vt:variant>
      <vt:variant>
        <vt:i4>5</vt:i4>
      </vt:variant>
      <vt:variant>
        <vt:lpwstr/>
      </vt:variant>
      <vt:variant>
        <vt:lpwstr>S_206_03_02</vt:lpwstr>
      </vt:variant>
      <vt:variant>
        <vt:i4>1704005</vt:i4>
      </vt:variant>
      <vt:variant>
        <vt:i4>156</vt:i4>
      </vt:variant>
      <vt:variant>
        <vt:i4>0</vt:i4>
      </vt:variant>
      <vt:variant>
        <vt:i4>5</vt:i4>
      </vt:variant>
      <vt:variant>
        <vt:lpwstr/>
      </vt:variant>
      <vt:variant>
        <vt:lpwstr>_Hlk112426968	1,12363,12372,4094,Manual Heading 2,206.03.01</vt:lpwstr>
      </vt:variant>
      <vt:variant>
        <vt:i4>262192</vt:i4>
      </vt:variant>
      <vt:variant>
        <vt:i4>153</vt:i4>
      </vt:variant>
      <vt:variant>
        <vt:i4>0</vt:i4>
      </vt:variant>
      <vt:variant>
        <vt:i4>5</vt:i4>
      </vt:variant>
      <vt:variant>
        <vt:lpwstr/>
      </vt:variant>
      <vt:variant>
        <vt:lpwstr>_top</vt:lpwstr>
      </vt:variant>
      <vt:variant>
        <vt:i4>2687021</vt:i4>
      </vt:variant>
      <vt:variant>
        <vt:i4>150</vt:i4>
      </vt:variant>
      <vt:variant>
        <vt:i4>0</vt:i4>
      </vt:variant>
      <vt:variant>
        <vt:i4>5</vt:i4>
      </vt:variant>
      <vt:variant>
        <vt:lpwstr/>
      </vt:variant>
      <vt:variant>
        <vt:lpwstr>MPPM_501_03</vt:lpwstr>
      </vt:variant>
      <vt:variant>
        <vt:i4>655431</vt:i4>
      </vt:variant>
      <vt:variant>
        <vt:i4>147</vt:i4>
      </vt:variant>
      <vt:variant>
        <vt:i4>0</vt:i4>
      </vt:variant>
      <vt:variant>
        <vt:i4>5</vt:i4>
      </vt:variant>
      <vt:variant>
        <vt:lpwstr>http://medsweb.scdhhs.gov/EligibilityForms/FM1233-ME.pdf</vt:lpwstr>
      </vt:variant>
      <vt:variant>
        <vt:lpwstr/>
      </vt:variant>
      <vt:variant>
        <vt:i4>1507353</vt:i4>
      </vt:variant>
      <vt:variant>
        <vt:i4>144</vt:i4>
      </vt:variant>
      <vt:variant>
        <vt:i4>0</vt:i4>
      </vt:variant>
      <vt:variant>
        <vt:i4>5</vt:i4>
      </vt:variant>
      <vt:variant>
        <vt:lpwstr>https://www.scdhhs.gov/sites/default/files/Form 3400 Application.pdf</vt:lpwstr>
      </vt:variant>
      <vt:variant>
        <vt:lpwstr/>
      </vt:variant>
      <vt:variant>
        <vt:i4>1507353</vt:i4>
      </vt:variant>
      <vt:variant>
        <vt:i4>141</vt:i4>
      </vt:variant>
      <vt:variant>
        <vt:i4>0</vt:i4>
      </vt:variant>
      <vt:variant>
        <vt:i4>5</vt:i4>
      </vt:variant>
      <vt:variant>
        <vt:lpwstr>https://www.scdhhs.gov/sites/default/files/Form 3400 Application.pdf</vt:lpwstr>
      </vt:variant>
      <vt:variant>
        <vt:lpwstr/>
      </vt:variant>
      <vt:variant>
        <vt:i4>3276916</vt:i4>
      </vt:variant>
      <vt:variant>
        <vt:i4>138</vt:i4>
      </vt:variant>
      <vt:variant>
        <vt:i4>0</vt:i4>
      </vt:variant>
      <vt:variant>
        <vt:i4>5</vt:i4>
      </vt:variant>
      <vt:variant>
        <vt:lpwstr>http://medsweb.scdhhs.gov/EligibilityForms/FM3400-A.pdf</vt:lpwstr>
      </vt:variant>
      <vt:variant>
        <vt:lpwstr/>
      </vt:variant>
      <vt:variant>
        <vt:i4>2097274</vt:i4>
      </vt:variant>
      <vt:variant>
        <vt:i4>135</vt:i4>
      </vt:variant>
      <vt:variant>
        <vt:i4>0</vt:i4>
      </vt:variant>
      <vt:variant>
        <vt:i4>5</vt:i4>
      </vt:variant>
      <vt:variant>
        <vt:lpwstr>http://medsweb.scdhhs.gov/EligibilityForms/FM 913-A.pdf</vt:lpwstr>
      </vt:variant>
      <vt:variant>
        <vt:lpwstr/>
      </vt:variant>
      <vt:variant>
        <vt:i4>1507353</vt:i4>
      </vt:variant>
      <vt:variant>
        <vt:i4>132</vt:i4>
      </vt:variant>
      <vt:variant>
        <vt:i4>0</vt:i4>
      </vt:variant>
      <vt:variant>
        <vt:i4>5</vt:i4>
      </vt:variant>
      <vt:variant>
        <vt:lpwstr>https://www.scdhhs.gov/sites/default/files/Form 3400 Application.pdf</vt:lpwstr>
      </vt:variant>
      <vt:variant>
        <vt:lpwstr/>
      </vt:variant>
      <vt:variant>
        <vt:i4>2097274</vt:i4>
      </vt:variant>
      <vt:variant>
        <vt:i4>129</vt:i4>
      </vt:variant>
      <vt:variant>
        <vt:i4>0</vt:i4>
      </vt:variant>
      <vt:variant>
        <vt:i4>5</vt:i4>
      </vt:variant>
      <vt:variant>
        <vt:lpwstr>http://medsweb.scdhhs.gov/EligibilityForms/FM 913-A.pdf</vt:lpwstr>
      </vt:variant>
      <vt:variant>
        <vt:lpwstr/>
      </vt:variant>
      <vt:variant>
        <vt:i4>1507353</vt:i4>
      </vt:variant>
      <vt:variant>
        <vt:i4>126</vt:i4>
      </vt:variant>
      <vt:variant>
        <vt:i4>0</vt:i4>
      </vt:variant>
      <vt:variant>
        <vt:i4>5</vt:i4>
      </vt:variant>
      <vt:variant>
        <vt:lpwstr>https://www.scdhhs.gov/sites/default/files/Form 3400 Application.pdf</vt:lpwstr>
      </vt:variant>
      <vt:variant>
        <vt:lpwstr/>
      </vt:variant>
      <vt:variant>
        <vt:i4>3801145</vt:i4>
      </vt:variant>
      <vt:variant>
        <vt:i4>123</vt:i4>
      </vt:variant>
      <vt:variant>
        <vt:i4>0</vt:i4>
      </vt:variant>
      <vt:variant>
        <vt:i4>5</vt:i4>
      </vt:variant>
      <vt:variant>
        <vt:lpwstr>http://www.scdhhs.gov/</vt:lpwstr>
      </vt:variant>
      <vt:variant>
        <vt:lpwstr/>
      </vt:variant>
      <vt:variant>
        <vt:i4>1572912</vt:i4>
      </vt:variant>
      <vt:variant>
        <vt:i4>116</vt:i4>
      </vt:variant>
      <vt:variant>
        <vt:i4>0</vt:i4>
      </vt:variant>
      <vt:variant>
        <vt:i4>5</vt:i4>
      </vt:variant>
      <vt:variant>
        <vt:lpwstr/>
      </vt:variant>
      <vt:variant>
        <vt:lpwstr>_Toc386460338</vt:lpwstr>
      </vt:variant>
      <vt:variant>
        <vt:i4>1572912</vt:i4>
      </vt:variant>
      <vt:variant>
        <vt:i4>110</vt:i4>
      </vt:variant>
      <vt:variant>
        <vt:i4>0</vt:i4>
      </vt:variant>
      <vt:variant>
        <vt:i4>5</vt:i4>
      </vt:variant>
      <vt:variant>
        <vt:lpwstr/>
      </vt:variant>
      <vt:variant>
        <vt:lpwstr>_Toc386460337</vt:lpwstr>
      </vt:variant>
      <vt:variant>
        <vt:i4>1572912</vt:i4>
      </vt:variant>
      <vt:variant>
        <vt:i4>104</vt:i4>
      </vt:variant>
      <vt:variant>
        <vt:i4>0</vt:i4>
      </vt:variant>
      <vt:variant>
        <vt:i4>5</vt:i4>
      </vt:variant>
      <vt:variant>
        <vt:lpwstr/>
      </vt:variant>
      <vt:variant>
        <vt:lpwstr>_Toc386460336</vt:lpwstr>
      </vt:variant>
      <vt:variant>
        <vt:i4>1572912</vt:i4>
      </vt:variant>
      <vt:variant>
        <vt:i4>98</vt:i4>
      </vt:variant>
      <vt:variant>
        <vt:i4>0</vt:i4>
      </vt:variant>
      <vt:variant>
        <vt:i4>5</vt:i4>
      </vt:variant>
      <vt:variant>
        <vt:lpwstr/>
      </vt:variant>
      <vt:variant>
        <vt:lpwstr>_Toc386460335</vt:lpwstr>
      </vt:variant>
      <vt:variant>
        <vt:i4>1572912</vt:i4>
      </vt:variant>
      <vt:variant>
        <vt:i4>92</vt:i4>
      </vt:variant>
      <vt:variant>
        <vt:i4>0</vt:i4>
      </vt:variant>
      <vt:variant>
        <vt:i4>5</vt:i4>
      </vt:variant>
      <vt:variant>
        <vt:lpwstr/>
      </vt:variant>
      <vt:variant>
        <vt:lpwstr>_Toc386460334</vt:lpwstr>
      </vt:variant>
      <vt:variant>
        <vt:i4>1572912</vt:i4>
      </vt:variant>
      <vt:variant>
        <vt:i4>86</vt:i4>
      </vt:variant>
      <vt:variant>
        <vt:i4>0</vt:i4>
      </vt:variant>
      <vt:variant>
        <vt:i4>5</vt:i4>
      </vt:variant>
      <vt:variant>
        <vt:lpwstr/>
      </vt:variant>
      <vt:variant>
        <vt:lpwstr>_Toc386460333</vt:lpwstr>
      </vt:variant>
      <vt:variant>
        <vt:i4>1572912</vt:i4>
      </vt:variant>
      <vt:variant>
        <vt:i4>80</vt:i4>
      </vt:variant>
      <vt:variant>
        <vt:i4>0</vt:i4>
      </vt:variant>
      <vt:variant>
        <vt:i4>5</vt:i4>
      </vt:variant>
      <vt:variant>
        <vt:lpwstr/>
      </vt:variant>
      <vt:variant>
        <vt:lpwstr>_Toc386460332</vt:lpwstr>
      </vt:variant>
      <vt:variant>
        <vt:i4>1572912</vt:i4>
      </vt:variant>
      <vt:variant>
        <vt:i4>74</vt:i4>
      </vt:variant>
      <vt:variant>
        <vt:i4>0</vt:i4>
      </vt:variant>
      <vt:variant>
        <vt:i4>5</vt:i4>
      </vt:variant>
      <vt:variant>
        <vt:lpwstr/>
      </vt:variant>
      <vt:variant>
        <vt:lpwstr>_Toc386460331</vt:lpwstr>
      </vt:variant>
      <vt:variant>
        <vt:i4>1572912</vt:i4>
      </vt:variant>
      <vt:variant>
        <vt:i4>68</vt:i4>
      </vt:variant>
      <vt:variant>
        <vt:i4>0</vt:i4>
      </vt:variant>
      <vt:variant>
        <vt:i4>5</vt:i4>
      </vt:variant>
      <vt:variant>
        <vt:lpwstr/>
      </vt:variant>
      <vt:variant>
        <vt:lpwstr>_Toc386460330</vt:lpwstr>
      </vt:variant>
      <vt:variant>
        <vt:i4>1638448</vt:i4>
      </vt:variant>
      <vt:variant>
        <vt:i4>62</vt:i4>
      </vt:variant>
      <vt:variant>
        <vt:i4>0</vt:i4>
      </vt:variant>
      <vt:variant>
        <vt:i4>5</vt:i4>
      </vt:variant>
      <vt:variant>
        <vt:lpwstr/>
      </vt:variant>
      <vt:variant>
        <vt:lpwstr>_Toc386460329</vt:lpwstr>
      </vt:variant>
      <vt:variant>
        <vt:i4>1638448</vt:i4>
      </vt:variant>
      <vt:variant>
        <vt:i4>56</vt:i4>
      </vt:variant>
      <vt:variant>
        <vt:i4>0</vt:i4>
      </vt:variant>
      <vt:variant>
        <vt:i4>5</vt:i4>
      </vt:variant>
      <vt:variant>
        <vt:lpwstr/>
      </vt:variant>
      <vt:variant>
        <vt:lpwstr>_Toc386460328</vt:lpwstr>
      </vt:variant>
      <vt:variant>
        <vt:i4>1638448</vt:i4>
      </vt:variant>
      <vt:variant>
        <vt:i4>50</vt:i4>
      </vt:variant>
      <vt:variant>
        <vt:i4>0</vt:i4>
      </vt:variant>
      <vt:variant>
        <vt:i4>5</vt:i4>
      </vt:variant>
      <vt:variant>
        <vt:lpwstr/>
      </vt:variant>
      <vt:variant>
        <vt:lpwstr>_Toc386460327</vt:lpwstr>
      </vt:variant>
      <vt:variant>
        <vt:i4>1638448</vt:i4>
      </vt:variant>
      <vt:variant>
        <vt:i4>44</vt:i4>
      </vt:variant>
      <vt:variant>
        <vt:i4>0</vt:i4>
      </vt:variant>
      <vt:variant>
        <vt:i4>5</vt:i4>
      </vt:variant>
      <vt:variant>
        <vt:lpwstr/>
      </vt:variant>
      <vt:variant>
        <vt:lpwstr>_Toc386460326</vt:lpwstr>
      </vt:variant>
      <vt:variant>
        <vt:i4>1638448</vt:i4>
      </vt:variant>
      <vt:variant>
        <vt:i4>38</vt:i4>
      </vt:variant>
      <vt:variant>
        <vt:i4>0</vt:i4>
      </vt:variant>
      <vt:variant>
        <vt:i4>5</vt:i4>
      </vt:variant>
      <vt:variant>
        <vt:lpwstr/>
      </vt:variant>
      <vt:variant>
        <vt:lpwstr>_Toc386460325</vt:lpwstr>
      </vt:variant>
      <vt:variant>
        <vt:i4>1638448</vt:i4>
      </vt:variant>
      <vt:variant>
        <vt:i4>32</vt:i4>
      </vt:variant>
      <vt:variant>
        <vt:i4>0</vt:i4>
      </vt:variant>
      <vt:variant>
        <vt:i4>5</vt:i4>
      </vt:variant>
      <vt:variant>
        <vt:lpwstr/>
      </vt:variant>
      <vt:variant>
        <vt:lpwstr>_Toc386460324</vt:lpwstr>
      </vt:variant>
      <vt:variant>
        <vt:i4>1638448</vt:i4>
      </vt:variant>
      <vt:variant>
        <vt:i4>26</vt:i4>
      </vt:variant>
      <vt:variant>
        <vt:i4>0</vt:i4>
      </vt:variant>
      <vt:variant>
        <vt:i4>5</vt:i4>
      </vt:variant>
      <vt:variant>
        <vt:lpwstr/>
      </vt:variant>
      <vt:variant>
        <vt:lpwstr>_Toc386460323</vt:lpwstr>
      </vt:variant>
      <vt:variant>
        <vt:i4>1638448</vt:i4>
      </vt:variant>
      <vt:variant>
        <vt:i4>20</vt:i4>
      </vt:variant>
      <vt:variant>
        <vt:i4>0</vt:i4>
      </vt:variant>
      <vt:variant>
        <vt:i4>5</vt:i4>
      </vt:variant>
      <vt:variant>
        <vt:lpwstr/>
      </vt:variant>
      <vt:variant>
        <vt:lpwstr>_Toc386460322</vt:lpwstr>
      </vt:variant>
      <vt:variant>
        <vt:i4>1638448</vt:i4>
      </vt:variant>
      <vt:variant>
        <vt:i4>14</vt:i4>
      </vt:variant>
      <vt:variant>
        <vt:i4>0</vt:i4>
      </vt:variant>
      <vt:variant>
        <vt:i4>5</vt:i4>
      </vt:variant>
      <vt:variant>
        <vt:lpwstr/>
      </vt:variant>
      <vt:variant>
        <vt:lpwstr>_Toc386460321</vt:lpwstr>
      </vt:variant>
      <vt:variant>
        <vt:i4>1638448</vt:i4>
      </vt:variant>
      <vt:variant>
        <vt:i4>8</vt:i4>
      </vt:variant>
      <vt:variant>
        <vt:i4>0</vt:i4>
      </vt:variant>
      <vt:variant>
        <vt:i4>5</vt:i4>
      </vt:variant>
      <vt:variant>
        <vt:lpwstr/>
      </vt:variant>
      <vt:variant>
        <vt:lpwstr>_Toc386460320</vt:lpwstr>
      </vt:variant>
      <vt:variant>
        <vt:i4>1703984</vt:i4>
      </vt:variant>
      <vt:variant>
        <vt:i4>2</vt:i4>
      </vt:variant>
      <vt:variant>
        <vt:i4>0</vt:i4>
      </vt:variant>
      <vt:variant>
        <vt:i4>5</vt:i4>
      </vt:variant>
      <vt:variant>
        <vt:lpwstr/>
      </vt:variant>
      <vt:variant>
        <vt:lpwstr>_Toc386460319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501 - BCCP</dc:title>
  <dc:subject/>
  <dc:creator>DHHS</dc:creator>
  <cp:keywords/>
  <dc:description/>
  <cp:lastModifiedBy>Julius Covington</cp:lastModifiedBy>
  <cp:revision>4</cp:revision>
  <cp:lastPrinted>2013-11-05T15:28:00Z</cp:lastPrinted>
  <dcterms:created xsi:type="dcterms:W3CDTF">2014-09-30T16:42:00Z</dcterms:created>
  <dcterms:modified xsi:type="dcterms:W3CDTF">2019-03-29T21:42:00Z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R2UUKJDZ4VCH-2180-117</vt:lpwstr>
  </property>
  <property fmtid="{D5CDD505-2E9C-101B-9397-08002B2CF9AE}" pid="3" name="_dlc_DocIdItemGuid">
    <vt:lpwstr>9fadd312-518d-402f-8735-e7b06d3394a9</vt:lpwstr>
  </property>
  <property fmtid="{D5CDD505-2E9C-101B-9397-08002B2CF9AE}" pid="4" name="_dlc_DocIdUrl">
    <vt:lpwstr>https://team.scdhhs.gov/pmo/ProjectRepository/1211207/_layouts/DocIdRedir.aspx?ID=R2UUKJDZ4VCH-2180-117, R2UUKJDZ4VCH-2180-117</vt:lpwstr>
  </property>
  <property fmtid="{D5CDD505-2E9C-101B-9397-08002B2CF9AE}" pid="5" name="ContentTypeId">
    <vt:lpwstr>0x010100C672CC90DB8DF742AF3200F660D148C7</vt:lpwstr>
  </property>
</Properties>
</file>